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F9" w:rsidRPr="000C2FA1" w:rsidRDefault="009677F9" w:rsidP="009677F9">
      <w:pPr>
        <w:rPr>
          <w:color w:val="000080"/>
        </w:rPr>
      </w:pPr>
      <w:r>
        <w:rPr>
          <w:noProof/>
          <w:color w:val="000080"/>
          <w:lang w:val="en-US"/>
        </w:rPr>
        <w:drawing>
          <wp:anchor distT="0" distB="0" distL="114300" distR="114300" simplePos="0" relativeHeight="251659264" behindDoc="0" locked="0" layoutInCell="1" allowOverlap="1">
            <wp:simplePos x="0" y="0"/>
            <wp:positionH relativeFrom="column">
              <wp:posOffset>5057775</wp:posOffset>
            </wp:positionH>
            <wp:positionV relativeFrom="paragraph">
              <wp:posOffset>-668020</wp:posOffset>
            </wp:positionV>
            <wp:extent cx="1104265" cy="1089660"/>
            <wp:effectExtent l="0" t="0" r="63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04265" cy="1089660"/>
                    </a:xfrm>
                    <a:prstGeom prst="rect">
                      <a:avLst/>
                    </a:prstGeom>
                    <a:noFill/>
                    <a:ln w="9525">
                      <a:noFill/>
                      <a:miter lim="800000"/>
                      <a:headEnd/>
                      <a:tailEnd/>
                    </a:ln>
                  </pic:spPr>
                </pic:pic>
              </a:graphicData>
            </a:graphic>
          </wp:anchor>
        </w:drawing>
      </w:r>
      <w:r>
        <w:rPr>
          <w:noProof/>
          <w:color w:val="000080"/>
          <w:lang w:val="en-US"/>
        </w:rPr>
        <w:drawing>
          <wp:anchor distT="0" distB="0" distL="114300" distR="114300" simplePos="0" relativeHeight="251660288" behindDoc="0" locked="0" layoutInCell="1" allowOverlap="1">
            <wp:simplePos x="0" y="0"/>
            <wp:positionH relativeFrom="column">
              <wp:posOffset>-48895</wp:posOffset>
            </wp:positionH>
            <wp:positionV relativeFrom="paragraph">
              <wp:posOffset>-345440</wp:posOffset>
            </wp:positionV>
            <wp:extent cx="2692400" cy="762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92400" cy="762000"/>
                    </a:xfrm>
                    <a:prstGeom prst="rect">
                      <a:avLst/>
                    </a:prstGeom>
                    <a:noFill/>
                    <a:ln w="9525">
                      <a:noFill/>
                      <a:miter lim="800000"/>
                      <a:headEnd/>
                      <a:tailEnd/>
                    </a:ln>
                  </pic:spPr>
                </pic:pic>
              </a:graphicData>
            </a:graphic>
          </wp:anchor>
        </w:drawing>
      </w:r>
    </w:p>
    <w:p w:rsidR="009677F9" w:rsidRDefault="009677F9" w:rsidP="009677F9">
      <w:pPr>
        <w:rPr>
          <w:b/>
          <w:color w:val="333399"/>
        </w:rPr>
      </w:pPr>
    </w:p>
    <w:p w:rsidR="009677F9" w:rsidRDefault="009677F9" w:rsidP="009677F9">
      <w:pPr>
        <w:rPr>
          <w:rFonts w:ascii="Tunga" w:hAnsi="Tunga" w:cs="Tunga"/>
          <w:b/>
          <w:color w:val="333399"/>
          <w:sz w:val="20"/>
          <w:szCs w:val="20"/>
        </w:rPr>
      </w:pPr>
      <w:r w:rsidRPr="006142AA">
        <w:rPr>
          <w:b/>
          <w:color w:val="333399"/>
        </w:rPr>
        <w:t>_____________________________________________________________________</w:t>
      </w:r>
      <w:r>
        <w:rPr>
          <w:b/>
          <w:color w:val="333399"/>
        </w:rPr>
        <w:t>____________</w:t>
      </w:r>
      <w:r>
        <w:rPr>
          <w:rFonts w:ascii="Tunga" w:hAnsi="Tunga" w:cs="Tunga"/>
          <w:b/>
          <w:color w:val="333399"/>
          <w:sz w:val="20"/>
          <w:szCs w:val="20"/>
        </w:rPr>
        <w:t xml:space="preserve">           </w:t>
      </w:r>
    </w:p>
    <w:p w:rsidR="009677F9" w:rsidRDefault="009677F9" w:rsidP="009677F9">
      <w:r>
        <w:rPr>
          <w:rFonts w:ascii="Tunga" w:hAnsi="Tunga" w:cs="Tunga"/>
          <w:b/>
          <w:color w:val="333399"/>
          <w:sz w:val="20"/>
          <w:szCs w:val="20"/>
        </w:rPr>
        <w:t>Experimental Medicine Division</w:t>
      </w:r>
      <w:r>
        <w:t xml:space="preserve">                  </w:t>
      </w:r>
    </w:p>
    <w:p w:rsidR="001B744D" w:rsidRDefault="001B744D"/>
    <w:p w:rsidR="0030135D" w:rsidRDefault="0030135D" w:rsidP="009677F9">
      <w:pPr>
        <w:autoSpaceDE w:val="0"/>
        <w:autoSpaceDN w:val="0"/>
        <w:adjustRightInd w:val="0"/>
        <w:ind w:right="142"/>
        <w:jc w:val="both"/>
      </w:pPr>
    </w:p>
    <w:p w:rsidR="0030135D" w:rsidRDefault="0030135D" w:rsidP="009677F9">
      <w:pPr>
        <w:autoSpaceDE w:val="0"/>
        <w:autoSpaceDN w:val="0"/>
        <w:adjustRightInd w:val="0"/>
        <w:ind w:right="142"/>
        <w:jc w:val="both"/>
      </w:pPr>
    </w:p>
    <w:p w:rsidR="009677F9" w:rsidRPr="00464121" w:rsidRDefault="009677F9" w:rsidP="009677F9">
      <w:pPr>
        <w:autoSpaceDE w:val="0"/>
        <w:autoSpaceDN w:val="0"/>
        <w:adjustRightInd w:val="0"/>
        <w:ind w:right="142"/>
        <w:jc w:val="both"/>
        <w:rPr>
          <w:rFonts w:ascii="Tunga" w:hAnsi="Tunga" w:cs="Tunga"/>
          <w:b/>
          <w:sz w:val="22"/>
          <w:szCs w:val="22"/>
          <w:lang w:val="en-US" w:eastAsia="en-GB"/>
        </w:rPr>
      </w:pPr>
      <w:r w:rsidRPr="00464121">
        <w:rPr>
          <w:rFonts w:ascii="Tunga" w:hAnsi="Tunga" w:cs="Tunga"/>
          <w:b/>
          <w:sz w:val="22"/>
          <w:szCs w:val="22"/>
          <w:lang w:val="en-US" w:eastAsia="en-GB"/>
        </w:rPr>
        <w:t>Departmental Health and Safety Committee Meeting</w:t>
      </w:r>
    </w:p>
    <w:p w:rsidR="009677F9" w:rsidRPr="009E045C" w:rsidRDefault="0030135D" w:rsidP="009E045C">
      <w:pPr>
        <w:autoSpaceDE w:val="0"/>
        <w:autoSpaceDN w:val="0"/>
        <w:adjustRightInd w:val="0"/>
        <w:ind w:right="142"/>
        <w:jc w:val="both"/>
        <w:rPr>
          <w:rFonts w:ascii="Tunga" w:hAnsi="Tunga" w:cs="Tunga"/>
          <w:sz w:val="22"/>
          <w:szCs w:val="22"/>
          <w:lang w:val="en-US" w:eastAsia="en-GB"/>
        </w:rPr>
      </w:pPr>
      <w:r w:rsidRPr="009E045C">
        <w:rPr>
          <w:rFonts w:ascii="Tunga" w:hAnsi="Tunga" w:cs="Tunga"/>
          <w:sz w:val="22"/>
          <w:szCs w:val="22"/>
          <w:lang w:val="en-US" w:eastAsia="en-GB"/>
        </w:rPr>
        <w:t>2</w:t>
      </w:r>
      <w:r w:rsidR="009E045C">
        <w:rPr>
          <w:rFonts w:ascii="Tunga" w:hAnsi="Tunga" w:cs="Tunga"/>
          <w:sz w:val="22"/>
          <w:szCs w:val="22"/>
          <w:lang w:val="en-US" w:eastAsia="en-GB"/>
        </w:rPr>
        <w:t>9</w:t>
      </w:r>
      <w:r w:rsidR="009E045C" w:rsidRPr="009E045C">
        <w:rPr>
          <w:rFonts w:ascii="Tunga" w:hAnsi="Tunga" w:cs="Tunga"/>
          <w:sz w:val="22"/>
          <w:szCs w:val="22"/>
          <w:vertAlign w:val="superscript"/>
          <w:lang w:val="en-US" w:eastAsia="en-GB"/>
        </w:rPr>
        <w:t>th</w:t>
      </w:r>
      <w:r w:rsidR="009E045C">
        <w:rPr>
          <w:rFonts w:ascii="Tunga" w:hAnsi="Tunga" w:cs="Tunga"/>
          <w:sz w:val="22"/>
          <w:szCs w:val="22"/>
          <w:lang w:val="en-US" w:eastAsia="en-GB"/>
        </w:rPr>
        <w:t xml:space="preserve"> January 2013</w:t>
      </w:r>
    </w:p>
    <w:p w:rsidR="009677F9" w:rsidRDefault="009677F9" w:rsidP="009677F9">
      <w:pPr>
        <w:autoSpaceDE w:val="0"/>
        <w:autoSpaceDN w:val="0"/>
        <w:adjustRightInd w:val="0"/>
        <w:ind w:right="142"/>
        <w:jc w:val="both"/>
        <w:rPr>
          <w:rFonts w:ascii="Tunga" w:hAnsi="Tunga" w:cs="Tunga"/>
          <w:sz w:val="22"/>
          <w:szCs w:val="22"/>
          <w:lang w:val="en-US" w:eastAsia="en-GB"/>
        </w:rPr>
      </w:pPr>
    </w:p>
    <w:p w:rsidR="009677F9" w:rsidRDefault="009677F9" w:rsidP="009677F9">
      <w:pPr>
        <w:autoSpaceDE w:val="0"/>
        <w:autoSpaceDN w:val="0"/>
        <w:adjustRightInd w:val="0"/>
        <w:ind w:right="142"/>
        <w:jc w:val="both"/>
        <w:rPr>
          <w:rFonts w:ascii="Tunga" w:hAnsi="Tunga" w:cs="Tunga"/>
          <w:sz w:val="22"/>
          <w:szCs w:val="22"/>
          <w:lang w:val="en-US" w:eastAsia="en-GB"/>
        </w:rPr>
      </w:pPr>
    </w:p>
    <w:p w:rsidR="009677F9" w:rsidRDefault="009677F9" w:rsidP="009677F9">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Present:</w:t>
      </w:r>
      <w:r>
        <w:rPr>
          <w:rFonts w:ascii="Tunga" w:hAnsi="Tunga" w:cs="Tunga"/>
          <w:sz w:val="22"/>
          <w:szCs w:val="22"/>
          <w:lang w:val="en-US" w:eastAsia="en-GB"/>
        </w:rPr>
        <w:t xml:space="preserve"> Karen Clifford</w:t>
      </w:r>
      <w:r w:rsidR="00056051">
        <w:rPr>
          <w:rFonts w:ascii="Tunga" w:hAnsi="Tunga" w:cs="Tunga"/>
          <w:sz w:val="22"/>
          <w:szCs w:val="22"/>
          <w:lang w:val="en-US" w:eastAsia="en-GB"/>
        </w:rPr>
        <w:t xml:space="preserve"> (KC)</w:t>
      </w:r>
      <w:r>
        <w:rPr>
          <w:rFonts w:ascii="Tunga" w:hAnsi="Tunga" w:cs="Tunga"/>
          <w:sz w:val="22"/>
          <w:szCs w:val="22"/>
          <w:lang w:val="en-US" w:eastAsia="en-GB"/>
        </w:rPr>
        <w:t xml:space="preserve">, </w:t>
      </w:r>
      <w:r w:rsidR="009E045C">
        <w:rPr>
          <w:rFonts w:ascii="Tunga" w:hAnsi="Tunga" w:cs="Tunga"/>
          <w:sz w:val="22"/>
          <w:szCs w:val="22"/>
          <w:lang w:val="en-US" w:eastAsia="en-GB"/>
        </w:rPr>
        <w:t>Brad Sutherland</w:t>
      </w:r>
      <w:r w:rsidR="00056051">
        <w:rPr>
          <w:rFonts w:ascii="Tunga" w:hAnsi="Tunga" w:cs="Tunga"/>
          <w:sz w:val="22"/>
          <w:szCs w:val="22"/>
          <w:lang w:val="en-US" w:eastAsia="en-GB"/>
        </w:rPr>
        <w:t xml:space="preserve"> (BS)</w:t>
      </w:r>
      <w:r w:rsidR="009E045C">
        <w:rPr>
          <w:rFonts w:ascii="Tunga" w:hAnsi="Tunga" w:cs="Tunga"/>
          <w:sz w:val="22"/>
          <w:szCs w:val="22"/>
          <w:lang w:val="en-US" w:eastAsia="en-GB"/>
        </w:rPr>
        <w:t>, Jon Silk</w:t>
      </w:r>
      <w:r w:rsidR="00056051">
        <w:rPr>
          <w:rFonts w:ascii="Tunga" w:hAnsi="Tunga" w:cs="Tunga"/>
          <w:sz w:val="22"/>
          <w:szCs w:val="22"/>
          <w:lang w:val="en-US" w:eastAsia="en-GB"/>
        </w:rPr>
        <w:t xml:space="preserve"> (JS)</w:t>
      </w:r>
      <w:r w:rsidR="009E045C">
        <w:rPr>
          <w:rFonts w:ascii="Tunga" w:hAnsi="Tunga" w:cs="Tunga"/>
          <w:sz w:val="22"/>
          <w:szCs w:val="22"/>
          <w:lang w:val="en-US" w:eastAsia="en-GB"/>
        </w:rPr>
        <w:t xml:space="preserve">, </w:t>
      </w:r>
      <w:r>
        <w:rPr>
          <w:rFonts w:ascii="Tunga" w:hAnsi="Tunga" w:cs="Tunga"/>
          <w:sz w:val="22"/>
          <w:szCs w:val="22"/>
          <w:lang w:val="en-US" w:eastAsia="en-GB"/>
        </w:rPr>
        <w:t>Jenny Middleton</w:t>
      </w:r>
      <w:r w:rsidR="00056051">
        <w:rPr>
          <w:rFonts w:ascii="Tunga" w:hAnsi="Tunga" w:cs="Tunga"/>
          <w:sz w:val="22"/>
          <w:szCs w:val="22"/>
          <w:lang w:val="en-US" w:eastAsia="en-GB"/>
        </w:rPr>
        <w:t xml:space="preserve"> (JM)</w:t>
      </w:r>
      <w:r>
        <w:rPr>
          <w:rFonts w:ascii="Tunga" w:hAnsi="Tunga" w:cs="Tunga"/>
          <w:sz w:val="22"/>
          <w:szCs w:val="22"/>
          <w:lang w:val="en-US" w:eastAsia="en-GB"/>
        </w:rPr>
        <w:t>, Sarah Morrish, Dai Griffiths</w:t>
      </w:r>
      <w:r w:rsidR="00056051">
        <w:rPr>
          <w:rFonts w:ascii="Tunga" w:hAnsi="Tunga" w:cs="Tunga"/>
          <w:sz w:val="22"/>
          <w:szCs w:val="22"/>
          <w:lang w:val="en-US" w:eastAsia="en-GB"/>
        </w:rPr>
        <w:t xml:space="preserve"> (DG)</w:t>
      </w:r>
      <w:r>
        <w:rPr>
          <w:rFonts w:ascii="Tunga" w:hAnsi="Tunga" w:cs="Tunga"/>
          <w:sz w:val="22"/>
          <w:szCs w:val="22"/>
          <w:lang w:val="en-US" w:eastAsia="en-GB"/>
        </w:rPr>
        <w:t xml:space="preserve">, </w:t>
      </w:r>
      <w:r w:rsidR="009E045C">
        <w:rPr>
          <w:rFonts w:ascii="Tunga" w:hAnsi="Tunga" w:cs="Tunga"/>
          <w:sz w:val="22"/>
          <w:szCs w:val="22"/>
          <w:lang w:val="en-US" w:eastAsia="en-GB"/>
        </w:rPr>
        <w:t>Graham Ross</w:t>
      </w:r>
      <w:r>
        <w:rPr>
          <w:rFonts w:ascii="Tunga" w:hAnsi="Tunga" w:cs="Tunga"/>
          <w:sz w:val="22"/>
          <w:szCs w:val="22"/>
          <w:lang w:val="en-US" w:eastAsia="en-GB"/>
        </w:rPr>
        <w:t xml:space="preserve"> </w:t>
      </w:r>
      <w:r w:rsidR="00056051">
        <w:rPr>
          <w:rFonts w:ascii="Tunga" w:hAnsi="Tunga" w:cs="Tunga"/>
          <w:sz w:val="22"/>
          <w:szCs w:val="22"/>
          <w:lang w:val="en-US" w:eastAsia="en-GB"/>
        </w:rPr>
        <w:t>(GR)</w:t>
      </w:r>
      <w:r w:rsidR="0043128A">
        <w:rPr>
          <w:rFonts w:ascii="Tunga" w:hAnsi="Tunga" w:cs="Tunga"/>
          <w:sz w:val="22"/>
          <w:szCs w:val="22"/>
          <w:lang w:val="en-US" w:eastAsia="en-GB"/>
        </w:rPr>
        <w:t>, Sharon Sanderson (SS).</w:t>
      </w:r>
    </w:p>
    <w:p w:rsidR="009677F9" w:rsidRDefault="009677F9" w:rsidP="009677F9">
      <w:pPr>
        <w:autoSpaceDE w:val="0"/>
        <w:autoSpaceDN w:val="0"/>
        <w:adjustRightInd w:val="0"/>
        <w:ind w:right="142"/>
        <w:jc w:val="both"/>
        <w:rPr>
          <w:rFonts w:ascii="Tunga" w:hAnsi="Tunga" w:cs="Tunga"/>
          <w:sz w:val="22"/>
          <w:szCs w:val="22"/>
          <w:lang w:val="en-US" w:eastAsia="en-GB"/>
        </w:rPr>
      </w:pPr>
    </w:p>
    <w:p w:rsidR="009677F9" w:rsidRDefault="009677F9" w:rsidP="009677F9">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Apologies:</w:t>
      </w:r>
      <w:r>
        <w:rPr>
          <w:rFonts w:ascii="Tunga" w:hAnsi="Tunga" w:cs="Tunga"/>
          <w:sz w:val="22"/>
          <w:szCs w:val="22"/>
          <w:lang w:val="en-US" w:eastAsia="en-GB"/>
        </w:rPr>
        <w:t xml:space="preserve"> Fiona Powrie, Julie Hamilton, </w:t>
      </w:r>
      <w:r w:rsidR="009E045C">
        <w:rPr>
          <w:rFonts w:ascii="Tunga" w:hAnsi="Tunga" w:cs="Tunga"/>
          <w:sz w:val="22"/>
          <w:szCs w:val="22"/>
          <w:lang w:val="en-US" w:eastAsia="en-GB"/>
        </w:rPr>
        <w:t xml:space="preserve">Robin Sparkes, Carolina Arancibia, </w:t>
      </w:r>
      <w:r>
        <w:rPr>
          <w:rFonts w:ascii="Tunga" w:hAnsi="Tunga" w:cs="Tunga"/>
          <w:sz w:val="22"/>
          <w:szCs w:val="22"/>
          <w:lang w:val="en-US" w:eastAsia="en-GB"/>
        </w:rPr>
        <w:t>Phillip Allen</w:t>
      </w:r>
      <w:r w:rsidR="009E045C">
        <w:rPr>
          <w:rFonts w:ascii="Tunga" w:hAnsi="Tunga" w:cs="Tunga"/>
          <w:sz w:val="22"/>
          <w:szCs w:val="22"/>
          <w:lang w:val="en-US" w:eastAsia="en-GB"/>
        </w:rPr>
        <w:t xml:space="preserve">, </w:t>
      </w:r>
      <w:r>
        <w:rPr>
          <w:rFonts w:ascii="Tunga" w:hAnsi="Tunga" w:cs="Tunga"/>
          <w:sz w:val="22"/>
          <w:szCs w:val="22"/>
          <w:lang w:val="en-US" w:eastAsia="en-GB"/>
        </w:rPr>
        <w:t>Joy Bull</w:t>
      </w:r>
      <w:r w:rsidR="009E045C">
        <w:rPr>
          <w:rFonts w:ascii="Tunga" w:hAnsi="Tunga" w:cs="Tunga"/>
          <w:sz w:val="22"/>
          <w:szCs w:val="22"/>
          <w:lang w:val="en-US" w:eastAsia="en-GB"/>
        </w:rPr>
        <w:t>, Kate Alford, Andrew Thomson, Jo Hovard, Donald Warden</w:t>
      </w:r>
    </w:p>
    <w:p w:rsidR="00C73D2D" w:rsidRPr="00C73D2D" w:rsidRDefault="00C73D2D" w:rsidP="009677F9">
      <w:pPr>
        <w:autoSpaceDE w:val="0"/>
        <w:autoSpaceDN w:val="0"/>
        <w:adjustRightInd w:val="0"/>
        <w:ind w:right="142"/>
        <w:jc w:val="both"/>
        <w:rPr>
          <w:rFonts w:ascii="Tunga" w:hAnsi="Tunga" w:cs="Tunga"/>
          <w:i/>
          <w:sz w:val="22"/>
          <w:szCs w:val="22"/>
          <w:lang w:val="en-US" w:eastAsia="en-GB"/>
        </w:rPr>
      </w:pPr>
      <w:r w:rsidRPr="00C73D2D">
        <w:rPr>
          <w:rFonts w:ascii="Tunga" w:hAnsi="Tunga" w:cs="Tunga"/>
          <w:i/>
          <w:sz w:val="22"/>
          <w:szCs w:val="22"/>
          <w:lang w:val="en-US" w:eastAsia="en-GB"/>
        </w:rPr>
        <w:t>(Please note Derek Hood is no longer on committee as he has relocated)</w:t>
      </w:r>
      <w:r>
        <w:rPr>
          <w:rFonts w:ascii="Tunga" w:hAnsi="Tunga" w:cs="Tunga"/>
          <w:i/>
          <w:sz w:val="22"/>
          <w:szCs w:val="22"/>
          <w:lang w:val="en-US" w:eastAsia="en-GB"/>
        </w:rPr>
        <w:t>.</w:t>
      </w:r>
    </w:p>
    <w:p w:rsidR="009677F9" w:rsidRDefault="009677F9" w:rsidP="009677F9">
      <w:pPr>
        <w:autoSpaceDE w:val="0"/>
        <w:autoSpaceDN w:val="0"/>
        <w:adjustRightInd w:val="0"/>
        <w:ind w:right="142"/>
        <w:jc w:val="both"/>
        <w:rPr>
          <w:rFonts w:ascii="Tunga" w:hAnsi="Tunga" w:cs="Tunga"/>
          <w:sz w:val="22"/>
          <w:szCs w:val="22"/>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9"/>
        <w:gridCol w:w="2278"/>
      </w:tblGrid>
      <w:tr w:rsidR="009677F9" w:rsidTr="0030135D">
        <w:tc>
          <w:tcPr>
            <w:tcW w:w="8472" w:type="dxa"/>
            <w:tcBorders>
              <w:right w:val="single" w:sz="4" w:space="0" w:color="auto"/>
            </w:tcBorders>
          </w:tcPr>
          <w:p w:rsidR="009677F9" w:rsidRDefault="00C73D2D" w:rsidP="009677F9">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Minutes accepted from last meeting</w:t>
            </w:r>
          </w:p>
          <w:p w:rsidR="0030135D" w:rsidRDefault="0030135D"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30135D" w:rsidRDefault="009677F9" w:rsidP="009677F9">
            <w:pPr>
              <w:autoSpaceDE w:val="0"/>
              <w:autoSpaceDN w:val="0"/>
              <w:adjustRightInd w:val="0"/>
              <w:ind w:right="142"/>
              <w:jc w:val="both"/>
              <w:rPr>
                <w:rFonts w:ascii="Tunga" w:hAnsi="Tunga" w:cs="Tunga"/>
                <w:b/>
                <w:sz w:val="22"/>
                <w:szCs w:val="22"/>
                <w:u w:val="single"/>
                <w:lang w:val="en-US" w:eastAsia="en-GB"/>
              </w:rPr>
            </w:pPr>
            <w:r w:rsidRPr="0030135D">
              <w:rPr>
                <w:rFonts w:ascii="Tunga" w:hAnsi="Tunga" w:cs="Tunga"/>
                <w:b/>
                <w:sz w:val="22"/>
                <w:szCs w:val="22"/>
                <w:u w:val="single"/>
                <w:lang w:val="en-US" w:eastAsia="en-GB"/>
              </w:rPr>
              <w:t>Action</w:t>
            </w:r>
          </w:p>
        </w:tc>
      </w:tr>
      <w:tr w:rsidR="009677F9" w:rsidTr="0030135D">
        <w:tc>
          <w:tcPr>
            <w:tcW w:w="8472" w:type="dxa"/>
            <w:tcBorders>
              <w:right w:val="single" w:sz="4" w:space="0" w:color="auto"/>
            </w:tcBorders>
          </w:tcPr>
          <w:p w:rsidR="009677F9" w:rsidRDefault="009677F9" w:rsidP="009677F9">
            <w:pPr>
              <w:pStyle w:val="ListParagraph"/>
              <w:numPr>
                <w:ilvl w:val="0"/>
                <w:numId w:val="1"/>
              </w:numPr>
              <w:autoSpaceDE w:val="0"/>
              <w:autoSpaceDN w:val="0"/>
              <w:adjustRightInd w:val="0"/>
              <w:ind w:right="142"/>
              <w:jc w:val="both"/>
              <w:rPr>
                <w:rFonts w:ascii="Tunga" w:hAnsi="Tunga" w:cs="Tunga"/>
                <w:b/>
                <w:sz w:val="22"/>
                <w:szCs w:val="22"/>
                <w:lang w:val="en-US" w:eastAsia="en-GB"/>
              </w:rPr>
            </w:pPr>
            <w:r w:rsidRPr="00F90C7E">
              <w:rPr>
                <w:rFonts w:ascii="Tunga" w:hAnsi="Tunga" w:cs="Tunga"/>
                <w:b/>
                <w:sz w:val="22"/>
                <w:szCs w:val="22"/>
                <w:lang w:val="en-US" w:eastAsia="en-GB"/>
              </w:rPr>
              <w:t>Outstanding items from last meeting</w:t>
            </w:r>
          </w:p>
          <w:p w:rsidR="00F90C7E" w:rsidRPr="00F90C7E" w:rsidRDefault="00F90C7E" w:rsidP="00F90C7E">
            <w:pPr>
              <w:pStyle w:val="ListParagraph"/>
              <w:autoSpaceDE w:val="0"/>
              <w:autoSpaceDN w:val="0"/>
              <w:adjustRightInd w:val="0"/>
              <w:ind w:left="360" w:right="142"/>
              <w:jc w:val="both"/>
              <w:rPr>
                <w:rFonts w:ascii="Tunga" w:hAnsi="Tunga" w:cs="Tunga"/>
                <w:b/>
                <w:sz w:val="22"/>
                <w:szCs w:val="22"/>
                <w:lang w:val="en-US" w:eastAsia="en-GB"/>
              </w:rPr>
            </w:pPr>
          </w:p>
          <w:p w:rsidR="009677F9" w:rsidRDefault="002B58D4" w:rsidP="009E045C">
            <w:pPr>
              <w:autoSpaceDE w:val="0"/>
              <w:autoSpaceDN w:val="0"/>
              <w:adjustRightInd w:val="0"/>
              <w:ind w:right="142"/>
              <w:jc w:val="both"/>
              <w:rPr>
                <w:rFonts w:ascii="Tunga" w:hAnsi="Tunga" w:cs="Tunga"/>
                <w:sz w:val="22"/>
                <w:szCs w:val="22"/>
                <w:lang w:val="en-US" w:eastAsia="en-GB"/>
              </w:rPr>
            </w:pPr>
            <w:proofErr w:type="gramStart"/>
            <w:r>
              <w:rPr>
                <w:rFonts w:ascii="Tunga" w:hAnsi="Tunga" w:cs="Tunga"/>
                <w:sz w:val="22"/>
                <w:szCs w:val="22"/>
                <w:lang w:val="en-US" w:eastAsia="en-GB"/>
              </w:rPr>
              <w:t xml:space="preserve">1.1  </w:t>
            </w:r>
            <w:r w:rsidR="009E045C">
              <w:rPr>
                <w:rFonts w:ascii="Tunga" w:hAnsi="Tunga" w:cs="Tunga"/>
                <w:sz w:val="22"/>
                <w:szCs w:val="22"/>
                <w:lang w:val="en-US" w:eastAsia="en-GB"/>
              </w:rPr>
              <w:t>Health</w:t>
            </w:r>
            <w:proofErr w:type="gramEnd"/>
            <w:r w:rsidR="009E045C">
              <w:rPr>
                <w:rFonts w:ascii="Tunga" w:hAnsi="Tunga" w:cs="Tunga"/>
                <w:sz w:val="22"/>
                <w:szCs w:val="22"/>
                <w:lang w:val="en-US" w:eastAsia="en-GB"/>
              </w:rPr>
              <w:t xml:space="preserve"> and Safety Report – This has now been passed onto </w:t>
            </w:r>
            <w:r w:rsidR="00C73D2D">
              <w:rPr>
                <w:rFonts w:ascii="Tunga" w:hAnsi="Tunga" w:cs="Tunga"/>
                <w:sz w:val="22"/>
                <w:szCs w:val="22"/>
                <w:lang w:val="en-US" w:eastAsia="en-GB"/>
              </w:rPr>
              <w:t>DSO (KC)</w:t>
            </w:r>
            <w:r w:rsidR="009E045C">
              <w:rPr>
                <w:rFonts w:ascii="Tunga" w:hAnsi="Tunga" w:cs="Tunga"/>
                <w:sz w:val="22"/>
                <w:szCs w:val="22"/>
                <w:lang w:val="en-US" w:eastAsia="en-GB"/>
              </w:rPr>
              <w:t xml:space="preserve">.  There are only a few things that need to be </w:t>
            </w:r>
            <w:r w:rsidR="00C73D2D">
              <w:rPr>
                <w:rFonts w:ascii="Tunga" w:hAnsi="Tunga" w:cs="Tunga"/>
                <w:sz w:val="22"/>
                <w:szCs w:val="22"/>
                <w:lang w:val="en-US" w:eastAsia="en-GB"/>
              </w:rPr>
              <w:t>addressed</w:t>
            </w:r>
            <w:r w:rsidR="009E045C">
              <w:rPr>
                <w:rFonts w:ascii="Tunga" w:hAnsi="Tunga" w:cs="Tunga"/>
                <w:sz w:val="22"/>
                <w:szCs w:val="22"/>
                <w:lang w:val="en-US" w:eastAsia="en-GB"/>
              </w:rPr>
              <w:t xml:space="preserve">; </w:t>
            </w:r>
          </w:p>
          <w:p w:rsidR="009E045C" w:rsidRDefault="009E045C" w:rsidP="009E045C">
            <w:pPr>
              <w:pStyle w:val="ListParagraph"/>
              <w:numPr>
                <w:ilvl w:val="0"/>
                <w:numId w:val="7"/>
              </w:numPr>
              <w:autoSpaceDE w:val="0"/>
              <w:autoSpaceDN w:val="0"/>
              <w:adjustRightInd w:val="0"/>
              <w:ind w:right="142"/>
              <w:jc w:val="both"/>
              <w:rPr>
                <w:rFonts w:ascii="Tunga" w:hAnsi="Tunga" w:cs="Tunga"/>
                <w:sz w:val="22"/>
                <w:szCs w:val="22"/>
                <w:lang w:val="en-US" w:eastAsia="en-GB"/>
              </w:rPr>
            </w:pPr>
            <w:r w:rsidRPr="009E045C">
              <w:rPr>
                <w:rFonts w:ascii="Tunga" w:hAnsi="Tunga" w:cs="Tunga"/>
                <w:sz w:val="22"/>
                <w:szCs w:val="22"/>
                <w:lang w:val="en-US" w:eastAsia="en-GB"/>
              </w:rPr>
              <w:t xml:space="preserve">Procedures working </w:t>
            </w:r>
            <w:r w:rsidR="00C73D2D">
              <w:rPr>
                <w:rFonts w:ascii="Tunga" w:hAnsi="Tunga" w:cs="Tunga"/>
                <w:sz w:val="22"/>
                <w:szCs w:val="22"/>
                <w:lang w:val="en-US" w:eastAsia="en-GB"/>
              </w:rPr>
              <w:t>performing</w:t>
            </w:r>
            <w:r w:rsidRPr="009E045C">
              <w:rPr>
                <w:rFonts w:ascii="Tunga" w:hAnsi="Tunga" w:cs="Tunga"/>
                <w:sz w:val="22"/>
                <w:szCs w:val="22"/>
                <w:lang w:val="en-US" w:eastAsia="en-GB"/>
              </w:rPr>
              <w:t xml:space="preserve"> high risk activities</w:t>
            </w:r>
            <w:r w:rsidR="00C73D2D">
              <w:rPr>
                <w:rFonts w:ascii="Tunga" w:hAnsi="Tunga" w:cs="Tunga"/>
                <w:sz w:val="22"/>
                <w:szCs w:val="22"/>
                <w:lang w:val="en-US" w:eastAsia="en-GB"/>
              </w:rPr>
              <w:t xml:space="preserve"> should be reviewed by Supervisors.</w:t>
            </w:r>
            <w:r w:rsidRPr="009E045C">
              <w:rPr>
                <w:rFonts w:ascii="Tunga" w:hAnsi="Tunga" w:cs="Tunga"/>
                <w:sz w:val="22"/>
                <w:szCs w:val="22"/>
                <w:lang w:val="en-US" w:eastAsia="en-GB"/>
              </w:rPr>
              <w:t xml:space="preserve"> </w:t>
            </w:r>
            <w:proofErr w:type="gramStart"/>
            <w:r w:rsidRPr="009E045C">
              <w:rPr>
                <w:rFonts w:ascii="Tunga" w:hAnsi="Tunga" w:cs="Tunga"/>
                <w:sz w:val="22"/>
                <w:szCs w:val="22"/>
                <w:lang w:val="en-US" w:eastAsia="en-GB"/>
              </w:rPr>
              <w:t>i.e</w:t>
            </w:r>
            <w:proofErr w:type="gramEnd"/>
            <w:r w:rsidRPr="009E045C">
              <w:rPr>
                <w:rFonts w:ascii="Tunga" w:hAnsi="Tunga" w:cs="Tunga"/>
                <w:sz w:val="22"/>
                <w:szCs w:val="22"/>
                <w:lang w:val="en-US" w:eastAsia="en-GB"/>
              </w:rPr>
              <w:t>. Liquid Nitrogen decanting</w:t>
            </w:r>
            <w:r w:rsidR="00C73D2D">
              <w:rPr>
                <w:rFonts w:ascii="Tunga" w:hAnsi="Tunga" w:cs="Tunga"/>
                <w:sz w:val="22"/>
                <w:szCs w:val="22"/>
                <w:lang w:val="en-US" w:eastAsia="en-GB"/>
              </w:rPr>
              <w:t xml:space="preserve"> and/or lone working arrangements</w:t>
            </w:r>
            <w:r>
              <w:rPr>
                <w:rFonts w:ascii="Tunga" w:hAnsi="Tunga" w:cs="Tunga"/>
                <w:sz w:val="22"/>
                <w:szCs w:val="22"/>
                <w:lang w:val="en-US" w:eastAsia="en-GB"/>
              </w:rPr>
              <w:t xml:space="preserve">.  </w:t>
            </w:r>
            <w:r w:rsidR="00056051">
              <w:rPr>
                <w:rFonts w:ascii="Tunga" w:hAnsi="Tunga" w:cs="Tunga"/>
                <w:sz w:val="22"/>
                <w:szCs w:val="22"/>
                <w:lang w:val="en-US" w:eastAsia="en-GB"/>
              </w:rPr>
              <w:t>GR</w:t>
            </w:r>
            <w:r>
              <w:rPr>
                <w:rFonts w:ascii="Tunga" w:hAnsi="Tunga" w:cs="Tunga"/>
                <w:sz w:val="22"/>
                <w:szCs w:val="22"/>
                <w:lang w:val="en-US" w:eastAsia="en-GB"/>
              </w:rPr>
              <w:t xml:space="preserve"> suggested that a list is drawn up of who is and isn’t trained to do this </w:t>
            </w:r>
            <w:r w:rsidR="00C73D2D">
              <w:rPr>
                <w:rFonts w:ascii="Tunga" w:hAnsi="Tunga" w:cs="Tunga"/>
                <w:sz w:val="22"/>
                <w:szCs w:val="22"/>
                <w:lang w:val="en-US" w:eastAsia="en-GB"/>
              </w:rPr>
              <w:t>procedure</w:t>
            </w:r>
            <w:r>
              <w:rPr>
                <w:rFonts w:ascii="Tunga" w:hAnsi="Tunga" w:cs="Tunga"/>
                <w:sz w:val="22"/>
                <w:szCs w:val="22"/>
                <w:lang w:val="en-US" w:eastAsia="en-GB"/>
              </w:rPr>
              <w:t xml:space="preserve"> which is then signed off by the supervisor.</w:t>
            </w:r>
          </w:p>
          <w:p w:rsidR="009E045C" w:rsidRDefault="00C73D2D" w:rsidP="009E045C">
            <w:pPr>
              <w:pStyle w:val="ListParagraph"/>
              <w:numPr>
                <w:ilvl w:val="0"/>
                <w:numId w:val="7"/>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Samples stored</w:t>
            </w:r>
            <w:r w:rsidR="009E045C">
              <w:rPr>
                <w:rFonts w:ascii="Tunga" w:hAnsi="Tunga" w:cs="Tunga"/>
                <w:sz w:val="22"/>
                <w:szCs w:val="22"/>
                <w:lang w:val="en-US" w:eastAsia="en-GB"/>
              </w:rPr>
              <w:t xml:space="preserve"> in freezers need to be in secondary packaging as they are </w:t>
            </w:r>
            <w:r>
              <w:rPr>
                <w:rFonts w:ascii="Tunga" w:hAnsi="Tunga" w:cs="Tunga"/>
                <w:sz w:val="22"/>
                <w:szCs w:val="22"/>
                <w:lang w:val="en-US" w:eastAsia="en-GB"/>
              </w:rPr>
              <w:t>from a containment level 2 environment (secondary packaging is either a sealed bag or box)</w:t>
            </w:r>
          </w:p>
          <w:p w:rsidR="009E045C" w:rsidRDefault="00C73D2D" w:rsidP="009E045C">
            <w:pPr>
              <w:pStyle w:val="ListParagraph"/>
              <w:numPr>
                <w:ilvl w:val="0"/>
                <w:numId w:val="7"/>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Ensure that sharps are not re-sheathed (evidence of sheath on needles in sharps bins and re-sheathed scalpels on shelves above benches)</w:t>
            </w:r>
          </w:p>
          <w:p w:rsidR="00E458BB" w:rsidRDefault="00C73D2D" w:rsidP="009E045C">
            <w:pPr>
              <w:pStyle w:val="ListParagraph"/>
              <w:numPr>
                <w:ilvl w:val="0"/>
                <w:numId w:val="7"/>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UN signage on liquid nitrogen supply tanks</w:t>
            </w:r>
          </w:p>
          <w:p w:rsidR="00E458BB" w:rsidRPr="00C73D2D" w:rsidRDefault="00C73D2D" w:rsidP="00C73D2D">
            <w:pPr>
              <w:pStyle w:val="ListParagraph"/>
              <w:numPr>
                <w:ilvl w:val="0"/>
                <w:numId w:val="7"/>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Phenol antidote required and phenol cards in first aid boxes located in areas where phenol is used.</w:t>
            </w:r>
          </w:p>
          <w:p w:rsidR="00E458BB" w:rsidRDefault="00C73D2D" w:rsidP="00E458BB">
            <w:pPr>
              <w:pStyle w:val="ListParagraph"/>
              <w:numPr>
                <w:ilvl w:val="0"/>
                <w:numId w:val="7"/>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Required documentation of cold room panic alarm testing</w:t>
            </w:r>
          </w:p>
          <w:p w:rsidR="00E458BB" w:rsidRPr="00E458BB" w:rsidRDefault="00D42FC9" w:rsidP="00E458BB">
            <w:pPr>
              <w:pStyle w:val="ListParagraph"/>
              <w:numPr>
                <w:ilvl w:val="0"/>
                <w:numId w:val="7"/>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Waste bottles for vacuum pumps should be placed in secondary container to avoid spillage.</w:t>
            </w:r>
            <w:r w:rsidR="00C73D2D">
              <w:rPr>
                <w:rFonts w:ascii="Tunga" w:hAnsi="Tunga" w:cs="Tunga"/>
                <w:sz w:val="22"/>
                <w:szCs w:val="22"/>
                <w:lang w:val="en-US" w:eastAsia="en-GB"/>
              </w:rPr>
              <w:t xml:space="preserve"> </w:t>
            </w:r>
          </w:p>
          <w:p w:rsidR="00F90C7E" w:rsidRPr="009677F9" w:rsidRDefault="00F90C7E" w:rsidP="00F90C7E">
            <w:pPr>
              <w:pStyle w:val="ListParagraph"/>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p w:rsidR="00F90C7E" w:rsidRDefault="00F90C7E" w:rsidP="009677F9">
            <w:pPr>
              <w:autoSpaceDE w:val="0"/>
              <w:autoSpaceDN w:val="0"/>
              <w:adjustRightInd w:val="0"/>
              <w:ind w:right="142"/>
              <w:jc w:val="both"/>
              <w:rPr>
                <w:rFonts w:ascii="Tunga" w:hAnsi="Tunga" w:cs="Tunga"/>
                <w:b/>
                <w:sz w:val="22"/>
                <w:szCs w:val="22"/>
                <w:lang w:val="en-US" w:eastAsia="en-GB"/>
              </w:rPr>
            </w:pPr>
          </w:p>
          <w:p w:rsidR="002B58D4" w:rsidRDefault="002B58D4" w:rsidP="00686271">
            <w:pPr>
              <w:autoSpaceDE w:val="0"/>
              <w:autoSpaceDN w:val="0"/>
              <w:adjustRightInd w:val="0"/>
              <w:ind w:right="142"/>
              <w:jc w:val="both"/>
              <w:rPr>
                <w:rFonts w:ascii="Tunga" w:hAnsi="Tunga" w:cs="Tunga"/>
                <w:b/>
                <w:sz w:val="22"/>
                <w:szCs w:val="22"/>
                <w:lang w:val="en-US" w:eastAsia="en-GB"/>
              </w:rPr>
            </w:pPr>
          </w:p>
          <w:p w:rsidR="009677F9" w:rsidRDefault="00C73D2D" w:rsidP="00686271">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users/Supervisors</w:t>
            </w: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2B58D4" w:rsidP="002B58D4">
            <w:pPr>
              <w:autoSpaceDE w:val="0"/>
              <w:autoSpaceDN w:val="0"/>
              <w:adjustRightInd w:val="0"/>
              <w:ind w:right="142"/>
              <w:rPr>
                <w:rFonts w:ascii="Tunga" w:hAnsi="Tunga" w:cs="Tunga"/>
                <w:b/>
                <w:sz w:val="22"/>
                <w:szCs w:val="22"/>
                <w:lang w:val="en-US" w:eastAsia="en-GB"/>
              </w:rPr>
            </w:pPr>
            <w:r>
              <w:rPr>
                <w:rFonts w:ascii="Tunga" w:hAnsi="Tunga" w:cs="Tunga"/>
                <w:b/>
                <w:sz w:val="22"/>
                <w:szCs w:val="22"/>
                <w:lang w:val="en-US" w:eastAsia="en-GB"/>
              </w:rPr>
              <w:t xml:space="preserve">End </w:t>
            </w:r>
            <w:r w:rsidR="00C73D2D">
              <w:rPr>
                <w:rFonts w:ascii="Tunga" w:hAnsi="Tunga" w:cs="Tunga"/>
                <w:b/>
                <w:sz w:val="22"/>
                <w:szCs w:val="22"/>
                <w:lang w:val="en-US" w:eastAsia="en-GB"/>
              </w:rPr>
              <w:t>users/ Supervisors</w:t>
            </w: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w:t>
            </w: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Dept (KC/RS)</w:t>
            </w: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Dept (KC/RS)</w:t>
            </w:r>
          </w:p>
          <w:p w:rsidR="00C73D2D" w:rsidRDefault="00C73D2D" w:rsidP="00686271">
            <w:pPr>
              <w:autoSpaceDE w:val="0"/>
              <w:autoSpaceDN w:val="0"/>
              <w:adjustRightInd w:val="0"/>
              <w:ind w:right="142"/>
              <w:jc w:val="both"/>
              <w:rPr>
                <w:rFonts w:ascii="Tunga" w:hAnsi="Tunga" w:cs="Tunga"/>
                <w:b/>
                <w:sz w:val="22"/>
                <w:szCs w:val="22"/>
                <w:lang w:val="en-US" w:eastAsia="en-GB"/>
              </w:rPr>
            </w:pPr>
          </w:p>
          <w:p w:rsidR="00C73D2D" w:rsidRDefault="00C73D2D" w:rsidP="00686271">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Dept (KC/RS)</w:t>
            </w:r>
          </w:p>
          <w:p w:rsidR="00D42FC9" w:rsidRPr="00F90C7E" w:rsidRDefault="00D42FC9" w:rsidP="00686271">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Dept (KC/RS)</w:t>
            </w:r>
          </w:p>
        </w:tc>
      </w:tr>
      <w:tr w:rsidR="009677F9" w:rsidTr="007F6849">
        <w:trPr>
          <w:trHeight w:val="1171"/>
        </w:trPr>
        <w:tc>
          <w:tcPr>
            <w:tcW w:w="8472" w:type="dxa"/>
            <w:tcBorders>
              <w:right w:val="single" w:sz="4" w:space="0" w:color="auto"/>
            </w:tcBorders>
          </w:tcPr>
          <w:p w:rsidR="009677F9" w:rsidRPr="00E458BB" w:rsidRDefault="002B58D4" w:rsidP="00056051">
            <w:pPr>
              <w:autoSpaceDE w:val="0"/>
              <w:autoSpaceDN w:val="0"/>
              <w:adjustRightInd w:val="0"/>
              <w:ind w:right="142"/>
              <w:jc w:val="both"/>
              <w:rPr>
                <w:rFonts w:ascii="Tunga" w:hAnsi="Tunga" w:cs="Tunga"/>
                <w:sz w:val="22"/>
                <w:szCs w:val="22"/>
                <w:lang w:val="en-US" w:eastAsia="en-GB"/>
              </w:rPr>
            </w:pPr>
            <w:proofErr w:type="gramStart"/>
            <w:r>
              <w:rPr>
                <w:rFonts w:ascii="Tunga" w:hAnsi="Tunga" w:cs="Tunga"/>
                <w:sz w:val="22"/>
                <w:szCs w:val="22"/>
                <w:lang w:val="en-US" w:eastAsia="en-GB"/>
              </w:rPr>
              <w:t xml:space="preserve">1.2  </w:t>
            </w:r>
            <w:r w:rsidR="00056051">
              <w:rPr>
                <w:rFonts w:ascii="Tunga" w:hAnsi="Tunga" w:cs="Tunga"/>
                <w:sz w:val="22"/>
                <w:szCs w:val="22"/>
                <w:lang w:val="en-US" w:eastAsia="en-GB"/>
              </w:rPr>
              <w:t>GR</w:t>
            </w:r>
            <w:proofErr w:type="gramEnd"/>
            <w:r>
              <w:rPr>
                <w:rFonts w:ascii="Tunga" w:hAnsi="Tunga" w:cs="Tunga"/>
                <w:sz w:val="22"/>
                <w:szCs w:val="22"/>
                <w:lang w:val="en-US" w:eastAsia="en-GB"/>
              </w:rPr>
              <w:t xml:space="preserve"> had a discussion with Carillion regarding </w:t>
            </w:r>
            <w:r w:rsidR="009677F9" w:rsidRPr="00E458BB">
              <w:rPr>
                <w:rFonts w:ascii="Tunga" w:hAnsi="Tunga" w:cs="Tunga"/>
                <w:sz w:val="22"/>
                <w:szCs w:val="22"/>
                <w:lang w:val="en-US" w:eastAsia="en-GB"/>
              </w:rPr>
              <w:t>Limb bin collection on L7</w:t>
            </w:r>
            <w:r>
              <w:rPr>
                <w:rFonts w:ascii="Tunga" w:hAnsi="Tunga" w:cs="Tunga"/>
                <w:sz w:val="22"/>
                <w:szCs w:val="22"/>
                <w:lang w:val="en-US" w:eastAsia="en-GB"/>
              </w:rPr>
              <w:t xml:space="preserve"> and said cleaners should be collecting it from the labs.</w:t>
            </w:r>
            <w:r w:rsidR="009677F9" w:rsidRPr="00E458BB">
              <w:rPr>
                <w:rFonts w:ascii="Tunga" w:hAnsi="Tunga" w:cs="Tunga"/>
                <w:sz w:val="22"/>
                <w:szCs w:val="22"/>
                <w:lang w:val="en-US" w:eastAsia="en-GB"/>
              </w:rPr>
              <w:t xml:space="preserve"> is  </w:t>
            </w:r>
            <w:r w:rsidR="00E458BB">
              <w:rPr>
                <w:rFonts w:ascii="Tunga" w:hAnsi="Tunga" w:cs="Tunga"/>
                <w:sz w:val="22"/>
                <w:szCs w:val="22"/>
                <w:lang w:val="en-US" w:eastAsia="en-GB"/>
              </w:rPr>
              <w:t xml:space="preserve">If </w:t>
            </w:r>
            <w:r w:rsidR="0030135D" w:rsidRPr="00E458BB">
              <w:rPr>
                <w:rFonts w:ascii="Tunga" w:hAnsi="Tunga" w:cs="Tunga"/>
                <w:sz w:val="22"/>
                <w:szCs w:val="22"/>
                <w:lang w:val="en-US" w:eastAsia="en-GB"/>
              </w:rPr>
              <w:t>Carillio</w:t>
            </w:r>
            <w:r w:rsidR="00F90C7E" w:rsidRPr="00E458BB">
              <w:rPr>
                <w:rFonts w:ascii="Tunga" w:hAnsi="Tunga" w:cs="Tunga"/>
                <w:sz w:val="22"/>
                <w:szCs w:val="22"/>
                <w:lang w:val="en-US" w:eastAsia="en-GB"/>
              </w:rPr>
              <w:t>n</w:t>
            </w:r>
            <w:r w:rsidR="00E458BB">
              <w:rPr>
                <w:rFonts w:ascii="Tunga" w:hAnsi="Tunga" w:cs="Tunga"/>
                <w:sz w:val="22"/>
                <w:szCs w:val="22"/>
                <w:lang w:val="en-US" w:eastAsia="en-GB"/>
              </w:rPr>
              <w:t xml:space="preserve"> have not collected limb bins and rubbish from the labs then people can call </w:t>
            </w:r>
            <w:r w:rsidR="00056051">
              <w:rPr>
                <w:rFonts w:ascii="Tunga" w:hAnsi="Tunga" w:cs="Tunga"/>
                <w:sz w:val="22"/>
                <w:szCs w:val="22"/>
                <w:lang w:val="en-US" w:eastAsia="en-GB"/>
              </w:rPr>
              <w:t>KC/RS</w:t>
            </w:r>
            <w:r w:rsidR="00E458BB">
              <w:rPr>
                <w:rFonts w:ascii="Tunga" w:hAnsi="Tunga" w:cs="Tunga"/>
                <w:sz w:val="22"/>
                <w:szCs w:val="22"/>
                <w:lang w:val="en-US" w:eastAsia="en-GB"/>
              </w:rPr>
              <w:t>, who will then log a call with Carillion which will be issued with a reference number so the job is easy to trace.</w:t>
            </w: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p>
          <w:p w:rsidR="002B58D4" w:rsidRPr="00F90C7E" w:rsidRDefault="002B58D4"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w:t>
            </w:r>
          </w:p>
          <w:p w:rsidR="00F90C7E" w:rsidRPr="00F90C7E" w:rsidRDefault="00F90C7E"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30135D" w:rsidRDefault="0030135D"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F90C7E" w:rsidP="00F90C7E">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Safety Office Memos/Policies</w:t>
            </w:r>
          </w:p>
          <w:p w:rsidR="00F90C7E" w:rsidRPr="00F90C7E" w:rsidRDefault="00F90C7E" w:rsidP="00F90C7E">
            <w:pPr>
              <w:pStyle w:val="ListParagraph"/>
              <w:autoSpaceDE w:val="0"/>
              <w:autoSpaceDN w:val="0"/>
              <w:adjustRightInd w:val="0"/>
              <w:ind w:left="360" w:right="142"/>
              <w:jc w:val="both"/>
              <w:rPr>
                <w:rFonts w:ascii="Tunga" w:hAnsi="Tunga" w:cs="Tunga"/>
                <w:b/>
                <w:sz w:val="22"/>
                <w:szCs w:val="22"/>
                <w:lang w:val="en-US" w:eastAsia="en-GB"/>
              </w:rPr>
            </w:pPr>
          </w:p>
          <w:p w:rsidR="00F90C7E" w:rsidRDefault="00F90C7E" w:rsidP="00F90C7E">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b/>
                <w:sz w:val="22"/>
                <w:szCs w:val="22"/>
                <w:lang w:val="en-US" w:eastAsia="en-GB"/>
              </w:rPr>
              <w:t>S1/1</w:t>
            </w:r>
            <w:r w:rsidR="00686271">
              <w:rPr>
                <w:rFonts w:ascii="Tunga" w:hAnsi="Tunga" w:cs="Tunga"/>
                <w:b/>
                <w:sz w:val="22"/>
                <w:szCs w:val="22"/>
                <w:lang w:val="en-US" w:eastAsia="en-GB"/>
              </w:rPr>
              <w:t>3</w:t>
            </w:r>
            <w:r>
              <w:rPr>
                <w:rFonts w:ascii="Tunga" w:hAnsi="Tunga" w:cs="Tunga"/>
                <w:sz w:val="22"/>
                <w:szCs w:val="22"/>
                <w:lang w:val="en-US" w:eastAsia="en-GB"/>
              </w:rPr>
              <w:t xml:space="preserve"> – </w:t>
            </w:r>
            <w:r w:rsidR="00686271">
              <w:rPr>
                <w:rFonts w:ascii="Tunga" w:hAnsi="Tunga" w:cs="Tunga"/>
                <w:sz w:val="22"/>
                <w:szCs w:val="22"/>
                <w:lang w:val="en-US" w:eastAsia="en-GB"/>
              </w:rPr>
              <w:t>This policy is a reminder of policy for children coming for work experience and what procedures need to happen for certain age groups.  This also covers people with child care problems and having to bring children into the work place.</w:t>
            </w:r>
            <w:r w:rsidR="002B58D4">
              <w:rPr>
                <w:rFonts w:ascii="Tunga" w:hAnsi="Tunga" w:cs="Tunga"/>
                <w:sz w:val="22"/>
                <w:szCs w:val="22"/>
                <w:lang w:val="en-US" w:eastAsia="en-GB"/>
              </w:rPr>
              <w:t xml:space="preserve">  Dept requires visitors to be registered in </w:t>
            </w:r>
            <w:r w:rsidR="002B58D4">
              <w:rPr>
                <w:rFonts w:ascii="Tunga" w:hAnsi="Tunga" w:cs="Tunga"/>
                <w:sz w:val="22"/>
                <w:szCs w:val="22"/>
                <w:lang w:val="en-US" w:eastAsia="en-GB"/>
              </w:rPr>
              <w:lastRenderedPageBreak/>
              <w:t>advance</w:t>
            </w:r>
          </w:p>
          <w:p w:rsidR="00686271" w:rsidRDefault="00686271" w:rsidP="00F90C7E">
            <w:pPr>
              <w:pStyle w:val="ListParagraph"/>
              <w:autoSpaceDE w:val="0"/>
              <w:autoSpaceDN w:val="0"/>
              <w:adjustRightInd w:val="0"/>
              <w:ind w:left="0" w:right="142"/>
              <w:jc w:val="both"/>
              <w:rPr>
                <w:rFonts w:ascii="Tunga" w:hAnsi="Tunga" w:cs="Tunga"/>
                <w:sz w:val="22"/>
                <w:szCs w:val="22"/>
                <w:lang w:val="en-US" w:eastAsia="en-GB"/>
              </w:rPr>
            </w:pPr>
          </w:p>
          <w:p w:rsidR="00686271" w:rsidRDefault="00686271" w:rsidP="00F90C7E">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sz w:val="22"/>
                <w:szCs w:val="22"/>
                <w:lang w:val="en-US" w:eastAsia="en-GB"/>
              </w:rPr>
              <w:t xml:space="preserve">The Athena Swan assessment has highlighted the level 7 lunch area </w:t>
            </w:r>
            <w:r w:rsidR="002B58D4">
              <w:rPr>
                <w:rFonts w:ascii="Tunga" w:hAnsi="Tunga" w:cs="Tunga"/>
                <w:sz w:val="22"/>
                <w:szCs w:val="22"/>
                <w:lang w:val="en-US" w:eastAsia="en-GB"/>
              </w:rPr>
              <w:t xml:space="preserve">(room 7401) </w:t>
            </w:r>
            <w:r>
              <w:rPr>
                <w:rFonts w:ascii="Tunga" w:hAnsi="Tunga" w:cs="Tunga"/>
                <w:sz w:val="22"/>
                <w:szCs w:val="22"/>
                <w:lang w:val="en-US" w:eastAsia="en-GB"/>
              </w:rPr>
              <w:t>as a family friendly area.  Jo and/or Fiona need to be notified if there is a problem.</w:t>
            </w:r>
          </w:p>
          <w:p w:rsidR="00F90C7E" w:rsidRDefault="00F90C7E" w:rsidP="00F90C7E">
            <w:pPr>
              <w:pStyle w:val="ListParagraph"/>
              <w:autoSpaceDE w:val="0"/>
              <w:autoSpaceDN w:val="0"/>
              <w:adjustRightInd w:val="0"/>
              <w:ind w:left="0" w:right="142"/>
              <w:jc w:val="both"/>
              <w:rPr>
                <w:rFonts w:ascii="Tunga" w:hAnsi="Tunga" w:cs="Tunga"/>
                <w:sz w:val="22"/>
                <w:szCs w:val="22"/>
                <w:lang w:val="en-US" w:eastAsia="en-GB"/>
              </w:rPr>
            </w:pPr>
          </w:p>
          <w:p w:rsidR="00686271" w:rsidRDefault="00686271" w:rsidP="00686271">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b/>
                <w:sz w:val="22"/>
                <w:szCs w:val="22"/>
                <w:lang w:val="en-US" w:eastAsia="en-GB"/>
              </w:rPr>
              <w:t>S2/13</w:t>
            </w:r>
            <w:r w:rsidR="00F90C7E">
              <w:rPr>
                <w:rFonts w:ascii="Tunga" w:hAnsi="Tunga" w:cs="Tunga"/>
                <w:sz w:val="22"/>
                <w:szCs w:val="22"/>
                <w:lang w:val="en-US" w:eastAsia="en-GB"/>
              </w:rPr>
              <w:t xml:space="preserve"> </w:t>
            </w:r>
            <w:r w:rsidR="00F90C7E" w:rsidRPr="00F90C7E">
              <w:rPr>
                <w:rFonts w:ascii="Tunga" w:hAnsi="Tunga" w:cs="Tunga"/>
                <w:sz w:val="22"/>
                <w:szCs w:val="22"/>
                <w:lang w:val="en-US" w:eastAsia="en-GB"/>
              </w:rPr>
              <w:t xml:space="preserve">– </w:t>
            </w:r>
            <w:r>
              <w:rPr>
                <w:rFonts w:ascii="Tunga" w:hAnsi="Tunga" w:cs="Tunga"/>
                <w:sz w:val="22"/>
                <w:szCs w:val="22"/>
                <w:lang w:val="en-US" w:eastAsia="en-GB"/>
              </w:rPr>
              <w:t>Safety Representatives from Trade Unions are allowed to come and do safety checks and sit on committees.</w:t>
            </w:r>
          </w:p>
          <w:p w:rsidR="00F90C7E" w:rsidRDefault="00F90C7E" w:rsidP="00686271">
            <w:pPr>
              <w:pStyle w:val="ListParagraph"/>
              <w:autoSpaceDE w:val="0"/>
              <w:autoSpaceDN w:val="0"/>
              <w:adjustRightInd w:val="0"/>
              <w:ind w:left="0" w:right="142"/>
              <w:jc w:val="both"/>
              <w:rPr>
                <w:rFonts w:ascii="Tunga" w:hAnsi="Tunga" w:cs="Tunga"/>
                <w:b/>
                <w:sz w:val="22"/>
                <w:szCs w:val="22"/>
                <w:lang w:val="en-US" w:eastAsia="en-GB"/>
              </w:rPr>
            </w:pPr>
          </w:p>
          <w:p w:rsidR="002B58D4" w:rsidRDefault="00686271" w:rsidP="00686271">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b/>
                <w:sz w:val="22"/>
                <w:szCs w:val="22"/>
                <w:lang w:val="en-US" w:eastAsia="en-GB"/>
              </w:rPr>
              <w:t>M11/12</w:t>
            </w:r>
            <w:r>
              <w:rPr>
                <w:rFonts w:ascii="Tunga" w:hAnsi="Tunga" w:cs="Tunga"/>
                <w:sz w:val="22"/>
                <w:szCs w:val="22"/>
                <w:lang w:val="en-US" w:eastAsia="en-GB"/>
              </w:rPr>
              <w:t xml:space="preserve"> – Bio safety returns have been </w:t>
            </w:r>
            <w:r w:rsidR="002B58D4">
              <w:rPr>
                <w:rFonts w:ascii="Tunga" w:hAnsi="Tunga" w:cs="Tunga"/>
                <w:sz w:val="22"/>
                <w:szCs w:val="22"/>
                <w:lang w:val="en-US" w:eastAsia="en-GB"/>
              </w:rPr>
              <w:t xml:space="preserve">completed and returned to Safety Office.  KC to follow up with </w:t>
            </w:r>
            <w:r w:rsidR="00056051">
              <w:rPr>
                <w:rFonts w:ascii="Tunga" w:hAnsi="Tunga" w:cs="Tunga"/>
                <w:sz w:val="22"/>
                <w:szCs w:val="22"/>
                <w:lang w:val="en-US" w:eastAsia="en-GB"/>
              </w:rPr>
              <w:t>GC</w:t>
            </w:r>
            <w:r w:rsidR="002B58D4">
              <w:rPr>
                <w:rFonts w:ascii="Tunga" w:hAnsi="Tunga" w:cs="Tunga"/>
                <w:sz w:val="22"/>
                <w:szCs w:val="22"/>
                <w:lang w:val="en-US" w:eastAsia="en-GB"/>
              </w:rPr>
              <w:t xml:space="preserve"> and </w:t>
            </w:r>
            <w:r w:rsidR="00056051">
              <w:rPr>
                <w:rFonts w:ascii="Tunga" w:hAnsi="Tunga" w:cs="Tunga"/>
                <w:sz w:val="22"/>
                <w:szCs w:val="22"/>
                <w:lang w:val="en-US" w:eastAsia="en-GB"/>
              </w:rPr>
              <w:t>DG</w:t>
            </w:r>
            <w:r w:rsidR="002B58D4">
              <w:rPr>
                <w:rFonts w:ascii="Tunga" w:hAnsi="Tunga" w:cs="Tunga"/>
                <w:sz w:val="22"/>
                <w:szCs w:val="22"/>
                <w:lang w:val="en-US" w:eastAsia="en-GB"/>
              </w:rPr>
              <w:t xml:space="preserve"> to confirm what schedule 5 pathogens and toxins have been declared.  </w:t>
            </w:r>
          </w:p>
          <w:p w:rsidR="002B58D4" w:rsidRDefault="002B58D4" w:rsidP="00686271">
            <w:pPr>
              <w:pStyle w:val="ListParagraph"/>
              <w:autoSpaceDE w:val="0"/>
              <w:autoSpaceDN w:val="0"/>
              <w:adjustRightInd w:val="0"/>
              <w:ind w:left="0" w:right="142"/>
              <w:jc w:val="both"/>
              <w:rPr>
                <w:rFonts w:ascii="Tunga" w:hAnsi="Tunga" w:cs="Tunga"/>
                <w:sz w:val="22"/>
                <w:szCs w:val="22"/>
                <w:lang w:val="en-US" w:eastAsia="en-GB"/>
              </w:rPr>
            </w:pPr>
          </w:p>
          <w:p w:rsidR="00686271" w:rsidRDefault="002B58D4" w:rsidP="00686271">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sz w:val="22"/>
                <w:szCs w:val="22"/>
                <w:lang w:val="en-US" w:eastAsia="en-GB"/>
              </w:rPr>
              <w:t>Anyone ordering any toxins should be gaining approval from Head of Department</w:t>
            </w:r>
            <w:r w:rsidR="00686271">
              <w:rPr>
                <w:rFonts w:ascii="Tunga" w:hAnsi="Tunga" w:cs="Tunga"/>
                <w:sz w:val="22"/>
                <w:szCs w:val="22"/>
                <w:lang w:val="en-US" w:eastAsia="en-GB"/>
              </w:rPr>
              <w:t xml:space="preserve"> </w:t>
            </w:r>
          </w:p>
          <w:p w:rsidR="002B58D4" w:rsidRDefault="002B58D4" w:rsidP="00686271">
            <w:pPr>
              <w:pStyle w:val="ListParagraph"/>
              <w:autoSpaceDE w:val="0"/>
              <w:autoSpaceDN w:val="0"/>
              <w:adjustRightInd w:val="0"/>
              <w:ind w:left="0" w:right="142"/>
              <w:jc w:val="both"/>
              <w:rPr>
                <w:rFonts w:ascii="Tunga" w:hAnsi="Tunga" w:cs="Tunga"/>
                <w:sz w:val="22"/>
                <w:szCs w:val="22"/>
                <w:lang w:val="en-US" w:eastAsia="en-GB"/>
              </w:rPr>
            </w:pPr>
          </w:p>
          <w:p w:rsidR="00686271" w:rsidRDefault="00686271" w:rsidP="00686271">
            <w:pPr>
              <w:pStyle w:val="ListParagraph"/>
              <w:autoSpaceDE w:val="0"/>
              <w:autoSpaceDN w:val="0"/>
              <w:adjustRightInd w:val="0"/>
              <w:ind w:left="0" w:right="142"/>
              <w:jc w:val="both"/>
              <w:rPr>
                <w:rFonts w:ascii="Tunga" w:hAnsi="Tunga" w:cs="Tunga"/>
                <w:sz w:val="22"/>
                <w:szCs w:val="22"/>
                <w:lang w:val="en-US" w:eastAsia="en-GB"/>
              </w:rPr>
            </w:pPr>
            <w:r>
              <w:rPr>
                <w:rFonts w:ascii="Tunga" w:hAnsi="Tunga" w:cs="Tunga"/>
                <w:b/>
                <w:sz w:val="22"/>
                <w:szCs w:val="22"/>
                <w:lang w:val="en-US" w:eastAsia="en-GB"/>
              </w:rPr>
              <w:t>M1/13</w:t>
            </w:r>
            <w:r>
              <w:rPr>
                <w:rFonts w:ascii="Tunga" w:hAnsi="Tunga" w:cs="Tunga"/>
                <w:sz w:val="22"/>
                <w:szCs w:val="22"/>
                <w:lang w:val="en-US" w:eastAsia="en-GB"/>
              </w:rPr>
              <w:t xml:space="preserve"> – </w:t>
            </w:r>
            <w:r w:rsidR="002B58D4">
              <w:rPr>
                <w:rFonts w:ascii="Tunga" w:hAnsi="Tunga" w:cs="Tunga"/>
                <w:sz w:val="22"/>
                <w:szCs w:val="22"/>
                <w:lang w:val="en-US" w:eastAsia="en-GB"/>
              </w:rPr>
              <w:t xml:space="preserve">Safety Office training schedule </w:t>
            </w:r>
          </w:p>
          <w:p w:rsidR="002B58D4" w:rsidRDefault="002B58D4" w:rsidP="00686271">
            <w:pPr>
              <w:pStyle w:val="ListParagraph"/>
              <w:autoSpaceDE w:val="0"/>
              <w:autoSpaceDN w:val="0"/>
              <w:adjustRightInd w:val="0"/>
              <w:ind w:left="0" w:right="142"/>
              <w:jc w:val="both"/>
              <w:rPr>
                <w:rFonts w:ascii="Tunga" w:hAnsi="Tunga" w:cs="Tunga"/>
                <w:sz w:val="22"/>
                <w:szCs w:val="22"/>
                <w:lang w:val="en-US" w:eastAsia="en-GB"/>
              </w:rPr>
            </w:pPr>
          </w:p>
          <w:p w:rsidR="00686271" w:rsidRDefault="00E27356" w:rsidP="002B58D4">
            <w:pPr>
              <w:pStyle w:val="ListParagraph"/>
              <w:autoSpaceDE w:val="0"/>
              <w:autoSpaceDN w:val="0"/>
              <w:adjustRightInd w:val="0"/>
              <w:ind w:left="0" w:right="142"/>
              <w:jc w:val="both"/>
              <w:rPr>
                <w:rFonts w:ascii="Tunga" w:hAnsi="Tunga" w:cs="Tunga"/>
                <w:i/>
                <w:sz w:val="22"/>
                <w:szCs w:val="22"/>
                <w:lang w:val="en-US" w:eastAsia="en-GB"/>
              </w:rPr>
            </w:pPr>
            <w:r w:rsidRPr="00E27356">
              <w:rPr>
                <w:rFonts w:ascii="Tunga" w:hAnsi="Tunga" w:cs="Tunga"/>
                <w:b/>
                <w:sz w:val="22"/>
                <w:szCs w:val="22"/>
                <w:lang w:val="en-US" w:eastAsia="en-GB"/>
              </w:rPr>
              <w:t>Amendment</w:t>
            </w:r>
            <w:r w:rsidR="002B58D4" w:rsidRPr="00E27356">
              <w:rPr>
                <w:rFonts w:ascii="Tunga" w:hAnsi="Tunga" w:cs="Tunga"/>
                <w:b/>
                <w:sz w:val="22"/>
                <w:szCs w:val="22"/>
                <w:lang w:val="en-US" w:eastAsia="en-GB"/>
              </w:rPr>
              <w:t xml:space="preserve"> to S8/09 (DSE) Appendix 4</w:t>
            </w:r>
            <w:r w:rsidR="002B58D4">
              <w:rPr>
                <w:rFonts w:ascii="Tunga" w:hAnsi="Tunga" w:cs="Tunga"/>
                <w:sz w:val="22"/>
                <w:szCs w:val="22"/>
                <w:lang w:val="en-US" w:eastAsia="en-GB"/>
              </w:rPr>
              <w:t xml:space="preserve"> – </w:t>
            </w:r>
            <w:r>
              <w:rPr>
                <w:rFonts w:ascii="Tunga" w:hAnsi="Tunga" w:cs="Tunga"/>
                <w:sz w:val="22"/>
                <w:szCs w:val="22"/>
                <w:lang w:val="en-US" w:eastAsia="en-GB"/>
              </w:rPr>
              <w:t>Amendment</w:t>
            </w:r>
            <w:r w:rsidR="002B58D4">
              <w:rPr>
                <w:rFonts w:ascii="Tunga" w:hAnsi="Tunga" w:cs="Tunga"/>
                <w:sz w:val="22"/>
                <w:szCs w:val="22"/>
                <w:lang w:val="en-US" w:eastAsia="en-GB"/>
              </w:rPr>
              <w:t xml:space="preserve"> regarding eyesight testing arrangements.  </w:t>
            </w:r>
            <w:r w:rsidR="002B58D4" w:rsidRPr="002B58D4">
              <w:rPr>
                <w:rFonts w:ascii="Tunga" w:hAnsi="Tunga" w:cs="Tunga"/>
                <w:sz w:val="22"/>
                <w:szCs w:val="22"/>
                <w:lang w:val="en-US" w:eastAsia="en-GB"/>
              </w:rPr>
              <w:t xml:space="preserve">A contribution might be required if the following statement is ticked on an optician’s report:  </w:t>
            </w:r>
            <w:r w:rsidR="002B58D4" w:rsidRPr="002B58D4">
              <w:rPr>
                <w:rFonts w:ascii="Tunga" w:hAnsi="Tunga" w:cs="Tunga"/>
                <w:i/>
                <w:sz w:val="22"/>
                <w:szCs w:val="22"/>
                <w:lang w:val="en-US" w:eastAsia="en-GB"/>
              </w:rPr>
              <w:t>Spectacles are required for general use, incorporating a special prescription for VDU use</w:t>
            </w:r>
            <w:r w:rsidR="002B58D4">
              <w:rPr>
                <w:rFonts w:ascii="Tunga" w:hAnsi="Tunga" w:cs="Tunga"/>
                <w:i/>
                <w:sz w:val="22"/>
                <w:szCs w:val="22"/>
                <w:lang w:val="en-US" w:eastAsia="en-GB"/>
              </w:rPr>
              <w:t xml:space="preserve">(multifocal or </w:t>
            </w:r>
            <w:proofErr w:type="spellStart"/>
            <w:r w:rsidR="002B58D4">
              <w:rPr>
                <w:rFonts w:ascii="Tunga" w:hAnsi="Tunga" w:cs="Tunga"/>
                <w:i/>
                <w:sz w:val="22"/>
                <w:szCs w:val="22"/>
                <w:lang w:val="en-US" w:eastAsia="en-GB"/>
              </w:rPr>
              <w:t>varifocal</w:t>
            </w:r>
            <w:proofErr w:type="spellEnd"/>
            <w:r w:rsidR="002B58D4">
              <w:rPr>
                <w:rFonts w:ascii="Tunga" w:hAnsi="Tunga" w:cs="Tunga"/>
                <w:i/>
                <w:sz w:val="22"/>
                <w:szCs w:val="22"/>
                <w:lang w:val="en-US" w:eastAsia="en-GB"/>
              </w:rPr>
              <w:t xml:space="preserve"> prescription)</w:t>
            </w:r>
          </w:p>
          <w:p w:rsidR="002B58D4" w:rsidRPr="00686271" w:rsidRDefault="002B58D4" w:rsidP="00E27356">
            <w:pPr>
              <w:pStyle w:val="ListParagraph"/>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If option is taken, </w:t>
            </w:r>
            <w:r w:rsidR="00E27356">
              <w:rPr>
                <w:rFonts w:ascii="Tunga" w:hAnsi="Tunga" w:cs="Tunga"/>
                <w:sz w:val="22"/>
                <w:szCs w:val="22"/>
                <w:lang w:val="en-US" w:eastAsia="en-GB"/>
              </w:rPr>
              <w:t xml:space="preserve">refer directly to the Safety Office as use of </w:t>
            </w:r>
            <w:proofErr w:type="spellStart"/>
            <w:r w:rsidR="00E27356">
              <w:rPr>
                <w:rFonts w:ascii="Tunga" w:hAnsi="Tunga" w:cs="Tunga"/>
                <w:sz w:val="22"/>
                <w:szCs w:val="22"/>
                <w:lang w:val="en-US" w:eastAsia="en-GB"/>
              </w:rPr>
              <w:t>varifocals</w:t>
            </w:r>
            <w:proofErr w:type="spellEnd"/>
            <w:r w:rsidR="00E27356">
              <w:rPr>
                <w:rFonts w:ascii="Tunga" w:hAnsi="Tunga" w:cs="Tunga"/>
                <w:sz w:val="22"/>
                <w:szCs w:val="22"/>
                <w:lang w:val="en-US" w:eastAsia="en-GB"/>
              </w:rPr>
              <w:t xml:space="preserve"> may lead to other DSE related issues (adjustment of neck and head position during DSE use)</w:t>
            </w:r>
          </w:p>
        </w:tc>
        <w:tc>
          <w:tcPr>
            <w:tcW w:w="1525" w:type="dxa"/>
            <w:tcBorders>
              <w:left w:val="single" w:sz="4" w:space="0" w:color="auto"/>
            </w:tcBorders>
          </w:tcPr>
          <w:p w:rsidR="009677F9" w:rsidRDefault="009677F9"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KC</w:t>
            </w:r>
            <w:r w:rsidR="00056051">
              <w:rPr>
                <w:rFonts w:ascii="Tunga" w:hAnsi="Tunga" w:cs="Tunga"/>
                <w:b/>
                <w:sz w:val="22"/>
                <w:szCs w:val="22"/>
                <w:lang w:val="en-US" w:eastAsia="en-GB"/>
              </w:rPr>
              <w:t>/DG/GR</w:t>
            </w: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p>
          <w:p w:rsidR="002B58D4" w:rsidRDefault="002B58D4"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users/Supervisors</w:t>
            </w: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Pr="00F90C7E" w:rsidRDefault="00E27356"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users/KC</w:t>
            </w:r>
          </w:p>
        </w:tc>
      </w:tr>
      <w:tr w:rsidR="009677F9" w:rsidTr="0030135D">
        <w:tc>
          <w:tcPr>
            <w:tcW w:w="8472" w:type="dxa"/>
            <w:tcBorders>
              <w:right w:val="single" w:sz="4" w:space="0" w:color="auto"/>
            </w:tcBorders>
          </w:tcPr>
          <w:p w:rsidR="0030135D" w:rsidRDefault="0030135D" w:rsidP="009677F9">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916F30" w:rsidP="00916F30">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Accident/Incident Reports</w:t>
            </w:r>
          </w:p>
          <w:p w:rsidR="00916F30" w:rsidRDefault="00916F30" w:rsidP="00916F30">
            <w:pPr>
              <w:autoSpaceDE w:val="0"/>
              <w:autoSpaceDN w:val="0"/>
              <w:adjustRightInd w:val="0"/>
              <w:ind w:right="142"/>
              <w:jc w:val="both"/>
              <w:rPr>
                <w:rFonts w:ascii="Tunga" w:hAnsi="Tunga" w:cs="Tunga"/>
                <w:b/>
                <w:sz w:val="22"/>
                <w:szCs w:val="22"/>
                <w:lang w:val="en-US" w:eastAsia="en-GB"/>
              </w:rPr>
            </w:pPr>
          </w:p>
          <w:p w:rsidR="00916F30" w:rsidRDefault="00E27356" w:rsidP="00916F30">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No incidents to report.</w:t>
            </w:r>
          </w:p>
          <w:p w:rsidR="00916F30" w:rsidRDefault="00916F30" w:rsidP="00916F30">
            <w:pPr>
              <w:autoSpaceDE w:val="0"/>
              <w:autoSpaceDN w:val="0"/>
              <w:adjustRightInd w:val="0"/>
              <w:ind w:right="142"/>
              <w:jc w:val="both"/>
              <w:rPr>
                <w:rFonts w:ascii="Tunga" w:hAnsi="Tunga" w:cs="Tunga"/>
                <w:sz w:val="22"/>
                <w:szCs w:val="22"/>
                <w:lang w:val="en-US" w:eastAsia="en-GB"/>
              </w:rPr>
            </w:pPr>
          </w:p>
          <w:p w:rsidR="0030135D" w:rsidRPr="00916F30" w:rsidRDefault="0030135D" w:rsidP="00916F30">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Pr="00F90C7E" w:rsidRDefault="009677F9"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Default="00916F30" w:rsidP="00916F30">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Risk assessments/COSHH/GMO assessments</w:t>
            </w:r>
          </w:p>
          <w:p w:rsidR="00916F30" w:rsidRDefault="00916F30" w:rsidP="00916F30">
            <w:pPr>
              <w:autoSpaceDE w:val="0"/>
              <w:autoSpaceDN w:val="0"/>
              <w:adjustRightInd w:val="0"/>
              <w:ind w:right="142"/>
              <w:jc w:val="both"/>
              <w:rPr>
                <w:rFonts w:ascii="Tunga" w:hAnsi="Tunga" w:cs="Tunga"/>
                <w:b/>
                <w:sz w:val="22"/>
                <w:szCs w:val="22"/>
                <w:lang w:val="en-US" w:eastAsia="en-GB"/>
              </w:rPr>
            </w:pPr>
          </w:p>
          <w:p w:rsidR="00C3142B" w:rsidRDefault="00E27356" w:rsidP="00916F30">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KC</w:t>
            </w:r>
            <w:r w:rsidR="00686271">
              <w:rPr>
                <w:rFonts w:ascii="Tunga" w:hAnsi="Tunga" w:cs="Tunga"/>
                <w:sz w:val="22"/>
                <w:szCs w:val="22"/>
                <w:lang w:val="en-US" w:eastAsia="en-GB"/>
              </w:rPr>
              <w:t xml:space="preserve"> retained signatures for several GMO assessments during the meeting.</w:t>
            </w:r>
          </w:p>
          <w:p w:rsidR="004E6080" w:rsidRDefault="004E6080" w:rsidP="00916F30">
            <w:pPr>
              <w:autoSpaceDE w:val="0"/>
              <w:autoSpaceDN w:val="0"/>
              <w:adjustRightInd w:val="0"/>
              <w:ind w:right="142"/>
              <w:jc w:val="both"/>
              <w:rPr>
                <w:rFonts w:ascii="Tunga" w:hAnsi="Tunga" w:cs="Tunga"/>
                <w:sz w:val="22"/>
                <w:szCs w:val="22"/>
                <w:lang w:val="en-US" w:eastAsia="en-GB"/>
              </w:rPr>
            </w:pPr>
          </w:p>
          <w:p w:rsidR="004E6080" w:rsidRDefault="004E6080" w:rsidP="00916F30">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GR mentioned that </w:t>
            </w:r>
            <w:r w:rsidR="00056051">
              <w:rPr>
                <w:rFonts w:ascii="Tunga" w:hAnsi="Tunga" w:cs="Tunga"/>
                <w:sz w:val="22"/>
                <w:szCs w:val="22"/>
                <w:lang w:val="en-US" w:eastAsia="en-GB"/>
              </w:rPr>
              <w:t>end users completing r</w:t>
            </w:r>
            <w:r>
              <w:rPr>
                <w:rFonts w:ascii="Tunga" w:hAnsi="Tunga" w:cs="Tunga"/>
                <w:sz w:val="22"/>
                <w:szCs w:val="22"/>
                <w:lang w:val="en-US" w:eastAsia="en-GB"/>
              </w:rPr>
              <w:t xml:space="preserve">egistration forms for COSHH Surveillance should ensure </w:t>
            </w:r>
            <w:r w:rsidR="00056051">
              <w:rPr>
                <w:rFonts w:ascii="Tunga" w:hAnsi="Tunga" w:cs="Tunga"/>
                <w:sz w:val="22"/>
                <w:szCs w:val="22"/>
                <w:lang w:val="en-US" w:eastAsia="en-GB"/>
              </w:rPr>
              <w:t>to circle the question “Is this in line with a current and valid COSHH assessment Y/N?”</w:t>
            </w:r>
          </w:p>
          <w:p w:rsidR="007F6849" w:rsidRDefault="007F6849" w:rsidP="00916F30">
            <w:pPr>
              <w:autoSpaceDE w:val="0"/>
              <w:autoSpaceDN w:val="0"/>
              <w:adjustRightInd w:val="0"/>
              <w:ind w:right="142"/>
              <w:jc w:val="both"/>
              <w:rPr>
                <w:rFonts w:ascii="Tunga" w:hAnsi="Tunga" w:cs="Tunga"/>
                <w:sz w:val="22"/>
                <w:szCs w:val="22"/>
                <w:lang w:val="en-US" w:eastAsia="en-GB"/>
              </w:rPr>
            </w:pPr>
          </w:p>
          <w:p w:rsidR="0030135D" w:rsidRPr="00916F30" w:rsidRDefault="0030135D" w:rsidP="00916F30">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Default="009677F9" w:rsidP="009677F9">
            <w:pPr>
              <w:autoSpaceDE w:val="0"/>
              <w:autoSpaceDN w:val="0"/>
              <w:adjustRightInd w:val="0"/>
              <w:ind w:right="142"/>
              <w:jc w:val="both"/>
              <w:rPr>
                <w:rFonts w:ascii="Tunga" w:hAnsi="Tunga" w:cs="Tunga"/>
                <w:b/>
                <w:sz w:val="22"/>
                <w:szCs w:val="22"/>
                <w:lang w:val="en-US" w:eastAsia="en-GB"/>
              </w:rPr>
            </w:pPr>
          </w:p>
          <w:p w:rsidR="00056051" w:rsidRDefault="00056051" w:rsidP="009677F9">
            <w:pPr>
              <w:autoSpaceDE w:val="0"/>
              <w:autoSpaceDN w:val="0"/>
              <w:adjustRightInd w:val="0"/>
              <w:ind w:right="142"/>
              <w:jc w:val="both"/>
              <w:rPr>
                <w:rFonts w:ascii="Tunga" w:hAnsi="Tunga" w:cs="Tunga"/>
                <w:b/>
                <w:sz w:val="22"/>
                <w:szCs w:val="22"/>
                <w:lang w:val="en-US" w:eastAsia="en-GB"/>
              </w:rPr>
            </w:pPr>
          </w:p>
          <w:p w:rsidR="00056051" w:rsidRDefault="00056051" w:rsidP="009677F9">
            <w:pPr>
              <w:autoSpaceDE w:val="0"/>
              <w:autoSpaceDN w:val="0"/>
              <w:adjustRightInd w:val="0"/>
              <w:ind w:right="142"/>
              <w:jc w:val="both"/>
              <w:rPr>
                <w:rFonts w:ascii="Tunga" w:hAnsi="Tunga" w:cs="Tunga"/>
                <w:b/>
                <w:sz w:val="22"/>
                <w:szCs w:val="22"/>
                <w:lang w:val="en-US" w:eastAsia="en-GB"/>
              </w:rPr>
            </w:pPr>
          </w:p>
          <w:p w:rsidR="00056051" w:rsidRDefault="00056051" w:rsidP="009677F9">
            <w:pPr>
              <w:autoSpaceDE w:val="0"/>
              <w:autoSpaceDN w:val="0"/>
              <w:adjustRightInd w:val="0"/>
              <w:ind w:right="142"/>
              <w:jc w:val="both"/>
              <w:rPr>
                <w:rFonts w:ascii="Tunga" w:hAnsi="Tunga" w:cs="Tunga"/>
                <w:b/>
                <w:sz w:val="22"/>
                <w:szCs w:val="22"/>
                <w:lang w:val="en-US" w:eastAsia="en-GB"/>
              </w:rPr>
            </w:pPr>
          </w:p>
          <w:p w:rsidR="00056051" w:rsidRPr="00F90C7E" w:rsidRDefault="00056051"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w:t>
            </w:r>
          </w:p>
        </w:tc>
      </w:tr>
      <w:tr w:rsidR="009677F9" w:rsidTr="0030135D">
        <w:tc>
          <w:tcPr>
            <w:tcW w:w="8472" w:type="dxa"/>
            <w:tcBorders>
              <w:right w:val="single" w:sz="4" w:space="0" w:color="auto"/>
            </w:tcBorders>
          </w:tcPr>
          <w:p w:rsidR="009677F9" w:rsidRPr="00C3142B" w:rsidRDefault="00C3142B" w:rsidP="00C3142B">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Laboratory Safety</w:t>
            </w:r>
          </w:p>
          <w:p w:rsidR="00C3142B" w:rsidRDefault="00C3142B" w:rsidP="00C3142B">
            <w:pPr>
              <w:autoSpaceDE w:val="0"/>
              <w:autoSpaceDN w:val="0"/>
              <w:adjustRightInd w:val="0"/>
              <w:ind w:right="142"/>
              <w:jc w:val="both"/>
              <w:rPr>
                <w:rFonts w:ascii="Tunga" w:hAnsi="Tunga" w:cs="Tunga"/>
                <w:b/>
                <w:sz w:val="22"/>
                <w:szCs w:val="22"/>
                <w:lang w:val="en-US" w:eastAsia="en-GB"/>
              </w:rPr>
            </w:pPr>
          </w:p>
          <w:p w:rsidR="00C3142B" w:rsidRDefault="00E27356"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KC</w:t>
            </w:r>
            <w:r w:rsidR="00686271">
              <w:rPr>
                <w:rFonts w:ascii="Tunga" w:hAnsi="Tunga" w:cs="Tunga"/>
                <w:sz w:val="22"/>
                <w:szCs w:val="22"/>
                <w:lang w:val="en-US" w:eastAsia="en-GB"/>
              </w:rPr>
              <w:t xml:space="preserve"> reported that PPE compliance is very good.</w:t>
            </w:r>
          </w:p>
          <w:p w:rsidR="00686271" w:rsidRDefault="00686271" w:rsidP="00C3142B">
            <w:pPr>
              <w:autoSpaceDE w:val="0"/>
              <w:autoSpaceDN w:val="0"/>
              <w:adjustRightInd w:val="0"/>
              <w:ind w:right="142"/>
              <w:jc w:val="both"/>
              <w:rPr>
                <w:rFonts w:ascii="Tunga" w:hAnsi="Tunga" w:cs="Tunga"/>
                <w:sz w:val="22"/>
                <w:szCs w:val="22"/>
                <w:lang w:val="en-US" w:eastAsia="en-GB"/>
              </w:rPr>
            </w:pPr>
          </w:p>
          <w:p w:rsidR="00686271" w:rsidRDefault="00686271"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There have been a few missed OHS appointments.  </w:t>
            </w:r>
            <w:r w:rsidR="00E27356">
              <w:rPr>
                <w:rFonts w:ascii="Tunga" w:hAnsi="Tunga" w:cs="Tunga"/>
                <w:sz w:val="22"/>
                <w:szCs w:val="22"/>
                <w:lang w:val="en-US" w:eastAsia="en-GB"/>
              </w:rPr>
              <w:t>KC</w:t>
            </w:r>
            <w:r>
              <w:rPr>
                <w:rFonts w:ascii="Tunga" w:hAnsi="Tunga" w:cs="Tunga"/>
                <w:sz w:val="22"/>
                <w:szCs w:val="22"/>
                <w:lang w:val="en-US" w:eastAsia="en-GB"/>
              </w:rPr>
              <w:t xml:space="preserve"> reminded everyone that anyone who continues to miss their appointments after several reminders from OHS and herself will have their lab access removed until the issue is resolved</w:t>
            </w:r>
            <w:r w:rsidR="007F6849">
              <w:rPr>
                <w:rFonts w:ascii="Tunga" w:hAnsi="Tunga" w:cs="Tunga"/>
                <w:sz w:val="22"/>
                <w:szCs w:val="22"/>
                <w:lang w:val="en-US" w:eastAsia="en-GB"/>
              </w:rPr>
              <w:t>.</w:t>
            </w:r>
          </w:p>
          <w:p w:rsidR="007F6849" w:rsidRDefault="007F6849" w:rsidP="00C3142B">
            <w:pPr>
              <w:autoSpaceDE w:val="0"/>
              <w:autoSpaceDN w:val="0"/>
              <w:adjustRightInd w:val="0"/>
              <w:ind w:right="142"/>
              <w:jc w:val="both"/>
              <w:rPr>
                <w:rFonts w:ascii="Tunga" w:hAnsi="Tunga" w:cs="Tunga"/>
                <w:sz w:val="22"/>
                <w:szCs w:val="22"/>
                <w:lang w:val="en-US" w:eastAsia="en-GB"/>
              </w:rPr>
            </w:pPr>
          </w:p>
          <w:p w:rsidR="0030135D" w:rsidRPr="00C3142B" w:rsidRDefault="0030135D" w:rsidP="00C3142B">
            <w:pPr>
              <w:autoSpaceDE w:val="0"/>
              <w:autoSpaceDN w:val="0"/>
              <w:adjustRightInd w:val="0"/>
              <w:ind w:right="142"/>
              <w:jc w:val="both"/>
              <w:rPr>
                <w:rFonts w:ascii="Tunga" w:hAnsi="Tunga" w:cs="Tunga"/>
                <w:sz w:val="22"/>
                <w:szCs w:val="22"/>
                <w:lang w:val="en-US" w:eastAsia="en-GB"/>
              </w:rPr>
            </w:pPr>
          </w:p>
        </w:tc>
        <w:tc>
          <w:tcPr>
            <w:tcW w:w="1525" w:type="dxa"/>
            <w:tcBorders>
              <w:left w:val="single" w:sz="4" w:space="0" w:color="auto"/>
            </w:tcBorders>
          </w:tcPr>
          <w:p w:rsidR="009677F9" w:rsidRDefault="009677F9"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End users</w:t>
            </w: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Pr="00F90C7E" w:rsidRDefault="00E27356" w:rsidP="009677F9">
            <w:pPr>
              <w:autoSpaceDE w:val="0"/>
              <w:autoSpaceDN w:val="0"/>
              <w:adjustRightInd w:val="0"/>
              <w:ind w:right="142"/>
              <w:jc w:val="both"/>
              <w:rPr>
                <w:rFonts w:ascii="Tunga" w:hAnsi="Tunga" w:cs="Tunga"/>
                <w:b/>
                <w:sz w:val="22"/>
                <w:szCs w:val="22"/>
                <w:lang w:val="en-US" w:eastAsia="en-GB"/>
              </w:rPr>
            </w:pPr>
          </w:p>
        </w:tc>
      </w:tr>
      <w:tr w:rsidR="009677F9" w:rsidTr="0030135D">
        <w:tc>
          <w:tcPr>
            <w:tcW w:w="8472" w:type="dxa"/>
            <w:tcBorders>
              <w:right w:val="single" w:sz="4" w:space="0" w:color="auto"/>
            </w:tcBorders>
          </w:tcPr>
          <w:p w:rsidR="009677F9" w:rsidRPr="00C3142B" w:rsidRDefault="00C3142B" w:rsidP="00C3142B">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Fire Safety</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C3142B" w:rsidRDefault="007F6849" w:rsidP="00C3142B">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We are still waiting to hear from the Trust about Fire Safety to confirm that we will be using their policy.</w:t>
            </w:r>
          </w:p>
          <w:p w:rsidR="00C3142B" w:rsidRDefault="00C3142B" w:rsidP="00C3142B">
            <w:pPr>
              <w:autoSpaceDE w:val="0"/>
              <w:autoSpaceDN w:val="0"/>
              <w:adjustRightInd w:val="0"/>
              <w:ind w:right="142"/>
              <w:jc w:val="both"/>
              <w:rPr>
                <w:rFonts w:ascii="Tunga" w:hAnsi="Tunga" w:cs="Tunga"/>
                <w:b/>
                <w:sz w:val="22"/>
                <w:szCs w:val="22"/>
                <w:lang w:val="en-US" w:eastAsia="en-GB"/>
              </w:rPr>
            </w:pPr>
          </w:p>
          <w:p w:rsidR="0030135D" w:rsidRPr="00C3142B" w:rsidRDefault="0030135D" w:rsidP="00C3142B">
            <w:pPr>
              <w:autoSpaceDE w:val="0"/>
              <w:autoSpaceDN w:val="0"/>
              <w:adjustRightInd w:val="0"/>
              <w:ind w:right="142"/>
              <w:jc w:val="both"/>
              <w:rPr>
                <w:rFonts w:ascii="Tunga" w:hAnsi="Tunga" w:cs="Tunga"/>
                <w:b/>
                <w:sz w:val="22"/>
                <w:szCs w:val="22"/>
                <w:lang w:val="en-US" w:eastAsia="en-GB"/>
              </w:rPr>
            </w:pPr>
          </w:p>
        </w:tc>
        <w:tc>
          <w:tcPr>
            <w:tcW w:w="1525" w:type="dxa"/>
            <w:tcBorders>
              <w:left w:val="single" w:sz="4" w:space="0" w:color="auto"/>
            </w:tcBorders>
          </w:tcPr>
          <w:p w:rsidR="009677F9" w:rsidRDefault="009677F9"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Pr="00F90C7E" w:rsidRDefault="00E27356" w:rsidP="009677F9">
            <w:pPr>
              <w:autoSpaceDE w:val="0"/>
              <w:autoSpaceDN w:val="0"/>
              <w:adjustRightInd w:val="0"/>
              <w:ind w:right="142"/>
              <w:jc w:val="both"/>
              <w:rPr>
                <w:rFonts w:ascii="Tunga" w:hAnsi="Tunga" w:cs="Tunga"/>
                <w:b/>
                <w:sz w:val="22"/>
                <w:szCs w:val="22"/>
                <w:lang w:val="en-US" w:eastAsia="en-GB"/>
              </w:rPr>
            </w:pPr>
          </w:p>
        </w:tc>
      </w:tr>
      <w:tr w:rsidR="00C3142B" w:rsidTr="0030135D">
        <w:tc>
          <w:tcPr>
            <w:tcW w:w="8472" w:type="dxa"/>
            <w:tcBorders>
              <w:right w:val="single" w:sz="4" w:space="0" w:color="auto"/>
            </w:tcBorders>
          </w:tcPr>
          <w:p w:rsidR="00C3142B" w:rsidRPr="00C3142B" w:rsidRDefault="00C3142B" w:rsidP="00C3142B">
            <w:pPr>
              <w:pStyle w:val="ListParagraph"/>
              <w:numPr>
                <w:ilvl w:val="0"/>
                <w:numId w:val="1"/>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lastRenderedPageBreak/>
              <w:t>Other</w:t>
            </w:r>
          </w:p>
          <w:p w:rsidR="00C3142B" w:rsidRDefault="00C3142B" w:rsidP="00C3142B">
            <w:pPr>
              <w:autoSpaceDE w:val="0"/>
              <w:autoSpaceDN w:val="0"/>
              <w:adjustRightInd w:val="0"/>
              <w:ind w:right="142"/>
              <w:jc w:val="both"/>
              <w:rPr>
                <w:rFonts w:ascii="Tunga" w:hAnsi="Tunga" w:cs="Tunga"/>
                <w:sz w:val="22"/>
                <w:szCs w:val="22"/>
                <w:lang w:val="en-US" w:eastAsia="en-GB"/>
              </w:rPr>
            </w:pPr>
          </w:p>
          <w:p w:rsidR="00E27356" w:rsidRDefault="004E6080" w:rsidP="007F6849">
            <w:pPr>
              <w:autoSpaceDE w:val="0"/>
              <w:autoSpaceDN w:val="0"/>
              <w:adjustRightInd w:val="0"/>
              <w:ind w:right="142"/>
              <w:jc w:val="both"/>
              <w:rPr>
                <w:rFonts w:ascii="Tunga" w:hAnsi="Tunga" w:cs="Tunga"/>
                <w:sz w:val="22"/>
                <w:szCs w:val="22"/>
                <w:lang w:val="en-US" w:eastAsia="en-GB"/>
              </w:rPr>
            </w:pPr>
            <w:proofErr w:type="gramStart"/>
            <w:r w:rsidRPr="004E6080">
              <w:rPr>
                <w:rFonts w:ascii="Tunga" w:hAnsi="Tunga" w:cs="Tunga"/>
                <w:b/>
                <w:sz w:val="22"/>
                <w:szCs w:val="22"/>
                <w:lang w:val="en-US" w:eastAsia="en-GB"/>
              </w:rPr>
              <w:t xml:space="preserve">7.1  </w:t>
            </w:r>
            <w:r w:rsidR="00E27356" w:rsidRPr="004E6080">
              <w:rPr>
                <w:rFonts w:ascii="Tunga" w:hAnsi="Tunga" w:cs="Tunga"/>
                <w:b/>
                <w:sz w:val="22"/>
                <w:szCs w:val="22"/>
                <w:lang w:val="en-US" w:eastAsia="en-GB"/>
              </w:rPr>
              <w:t>Portable</w:t>
            </w:r>
            <w:proofErr w:type="gramEnd"/>
            <w:r w:rsidR="00E27356" w:rsidRPr="004E6080">
              <w:rPr>
                <w:rFonts w:ascii="Tunga" w:hAnsi="Tunga" w:cs="Tunga"/>
                <w:b/>
                <w:sz w:val="22"/>
                <w:szCs w:val="22"/>
                <w:lang w:val="en-US" w:eastAsia="en-GB"/>
              </w:rPr>
              <w:t xml:space="preserve"> Appliance Testing</w:t>
            </w:r>
            <w:r w:rsidR="00E27356">
              <w:rPr>
                <w:rFonts w:ascii="Tunga" w:hAnsi="Tunga" w:cs="Tunga"/>
                <w:sz w:val="22"/>
                <w:szCs w:val="22"/>
                <w:lang w:val="en-US" w:eastAsia="en-GB"/>
              </w:rPr>
              <w:t xml:space="preserve"> – MSD no longer employs an engineer to PAT equipment in labs.  Going forward, organization and costs must be met by department.  Safety Office recommends the use of Janus Safety Solutions which charge £0.90 per item or departments can borrow PAT equipment and complete themselves.</w:t>
            </w:r>
          </w:p>
          <w:p w:rsidR="00E27356" w:rsidRDefault="00E27356" w:rsidP="007F6849">
            <w:pPr>
              <w:autoSpaceDE w:val="0"/>
              <w:autoSpaceDN w:val="0"/>
              <w:adjustRightInd w:val="0"/>
              <w:ind w:right="142"/>
              <w:jc w:val="both"/>
              <w:rPr>
                <w:rFonts w:ascii="Tunga" w:hAnsi="Tunga" w:cs="Tunga"/>
                <w:sz w:val="22"/>
                <w:szCs w:val="22"/>
                <w:lang w:val="en-US" w:eastAsia="en-GB"/>
              </w:rPr>
            </w:pPr>
          </w:p>
          <w:p w:rsidR="00E27356" w:rsidRDefault="00E27356" w:rsidP="007F6849">
            <w:pPr>
              <w:autoSpaceDE w:val="0"/>
              <w:autoSpaceDN w:val="0"/>
              <w:adjustRightInd w:val="0"/>
              <w:ind w:right="142"/>
              <w:jc w:val="both"/>
              <w:rPr>
                <w:rFonts w:ascii="Tunga" w:hAnsi="Tunga" w:cs="Tunga"/>
                <w:sz w:val="22"/>
                <w:szCs w:val="22"/>
                <w:lang w:val="en-US" w:eastAsia="en-GB"/>
              </w:rPr>
            </w:pPr>
          </w:p>
          <w:p w:rsidR="0030135D" w:rsidRPr="00C3142B" w:rsidRDefault="004E6080" w:rsidP="004E6080">
            <w:pPr>
              <w:autoSpaceDE w:val="0"/>
              <w:autoSpaceDN w:val="0"/>
              <w:adjustRightInd w:val="0"/>
              <w:ind w:right="142"/>
              <w:jc w:val="both"/>
              <w:rPr>
                <w:rFonts w:ascii="Tunga" w:hAnsi="Tunga" w:cs="Tunga"/>
                <w:sz w:val="22"/>
                <w:szCs w:val="22"/>
                <w:lang w:val="en-US" w:eastAsia="en-GB"/>
              </w:rPr>
            </w:pPr>
            <w:r w:rsidRPr="004E6080">
              <w:rPr>
                <w:rFonts w:ascii="Tunga" w:hAnsi="Tunga" w:cs="Tunga"/>
                <w:b/>
                <w:sz w:val="22"/>
                <w:szCs w:val="22"/>
                <w:lang w:val="en-US" w:eastAsia="en-GB"/>
              </w:rPr>
              <w:t>7.2  Liquid Nitrogen Storage</w:t>
            </w:r>
            <w:r>
              <w:rPr>
                <w:rFonts w:ascii="Tunga" w:hAnsi="Tunga" w:cs="Tunga"/>
                <w:b/>
                <w:sz w:val="22"/>
                <w:szCs w:val="22"/>
                <w:lang w:val="en-US" w:eastAsia="en-GB"/>
              </w:rPr>
              <w:t xml:space="preserve"> Incidents resulting in injuries</w:t>
            </w:r>
            <w:r>
              <w:rPr>
                <w:rFonts w:ascii="Tunga" w:hAnsi="Tunga" w:cs="Tunga"/>
                <w:sz w:val="22"/>
                <w:szCs w:val="22"/>
                <w:lang w:val="en-US" w:eastAsia="en-GB"/>
              </w:rPr>
              <w:t xml:space="preserve"> – In light of two incidents which occurred in December and January of exploding cryovials that were removed from </w:t>
            </w:r>
            <w:r w:rsidRPr="004E6080">
              <w:rPr>
                <w:rFonts w:ascii="Tunga" w:hAnsi="Tunga" w:cs="Tunga"/>
                <w:sz w:val="22"/>
                <w:szCs w:val="22"/>
                <w:u w:val="single"/>
                <w:lang w:val="en-US" w:eastAsia="en-GB"/>
              </w:rPr>
              <w:t>liquid</w:t>
            </w:r>
            <w:r>
              <w:rPr>
                <w:rFonts w:ascii="Tunga" w:hAnsi="Tunga" w:cs="Tunga"/>
                <w:sz w:val="22"/>
                <w:szCs w:val="22"/>
                <w:lang w:val="en-US" w:eastAsia="en-GB"/>
              </w:rPr>
              <w:t xml:space="preserve"> phase LN storage, the Safety Office (GR and AT) is recommending that groups review their risk assessments and procedures for retrieving samples and thawing samples from LN storage.  Dept does not use liquid phase; </w:t>
            </w:r>
            <w:r w:rsidRPr="004E6080">
              <w:rPr>
                <w:rFonts w:ascii="Tunga" w:hAnsi="Tunga" w:cs="Tunga"/>
                <w:sz w:val="22"/>
                <w:szCs w:val="22"/>
                <w:u w:val="single"/>
                <w:lang w:val="en-US" w:eastAsia="en-GB"/>
              </w:rPr>
              <w:t xml:space="preserve">only </w:t>
            </w:r>
            <w:proofErr w:type="spellStart"/>
            <w:r w:rsidRPr="004E6080">
              <w:rPr>
                <w:rFonts w:ascii="Tunga" w:hAnsi="Tunga" w:cs="Tunga"/>
                <w:sz w:val="22"/>
                <w:szCs w:val="22"/>
                <w:u w:val="single"/>
                <w:lang w:val="en-US" w:eastAsia="en-GB"/>
              </w:rPr>
              <w:t>vapour</w:t>
            </w:r>
            <w:proofErr w:type="spellEnd"/>
            <w:r>
              <w:rPr>
                <w:rFonts w:ascii="Tunga" w:hAnsi="Tunga" w:cs="Tunga"/>
                <w:sz w:val="22"/>
                <w:szCs w:val="22"/>
                <w:lang w:val="en-US" w:eastAsia="en-GB"/>
              </w:rPr>
              <w:t xml:space="preserve"> phase however it is recommended that cryovials once removed from LN, should be placed immediately in secondary packaging so to contain the possible risk of cryovial explosion (could be falcon tube or lidded box).  When thawing samples, a lidded water bath should be used to contain any possible explosion or the vial seal should be cracked (releasing the pressure) in an MSC before being placed in a water bath.</w:t>
            </w:r>
          </w:p>
        </w:tc>
        <w:tc>
          <w:tcPr>
            <w:tcW w:w="1525" w:type="dxa"/>
            <w:tcBorders>
              <w:left w:val="single" w:sz="4" w:space="0" w:color="auto"/>
            </w:tcBorders>
          </w:tcPr>
          <w:p w:rsidR="00C3142B" w:rsidRDefault="00C3142B"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p>
          <w:p w:rsidR="00E27356" w:rsidRDefault="00E27356" w:rsidP="009677F9">
            <w:p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Dept (KC/RS)</w:t>
            </w: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Default="004E6080" w:rsidP="009677F9">
            <w:pPr>
              <w:autoSpaceDE w:val="0"/>
              <w:autoSpaceDN w:val="0"/>
              <w:adjustRightInd w:val="0"/>
              <w:ind w:right="142"/>
              <w:jc w:val="both"/>
              <w:rPr>
                <w:rFonts w:ascii="Tunga" w:hAnsi="Tunga" w:cs="Tunga"/>
                <w:b/>
                <w:sz w:val="22"/>
                <w:szCs w:val="22"/>
                <w:lang w:val="en-US" w:eastAsia="en-GB"/>
              </w:rPr>
            </w:pPr>
          </w:p>
          <w:p w:rsidR="004E6080" w:rsidRPr="00F90C7E" w:rsidRDefault="004E6080" w:rsidP="004E6080">
            <w:pPr>
              <w:autoSpaceDE w:val="0"/>
              <w:autoSpaceDN w:val="0"/>
              <w:adjustRightInd w:val="0"/>
              <w:ind w:right="142"/>
              <w:rPr>
                <w:rFonts w:ascii="Tunga" w:hAnsi="Tunga" w:cs="Tunga"/>
                <w:b/>
                <w:sz w:val="22"/>
                <w:szCs w:val="22"/>
                <w:lang w:val="en-US" w:eastAsia="en-GB"/>
              </w:rPr>
            </w:pPr>
            <w:r>
              <w:rPr>
                <w:rFonts w:ascii="Tunga" w:hAnsi="Tunga" w:cs="Tunga"/>
                <w:b/>
                <w:sz w:val="22"/>
                <w:szCs w:val="22"/>
                <w:lang w:val="en-US" w:eastAsia="en-GB"/>
              </w:rPr>
              <w:t>End users/ Supervisors</w:t>
            </w:r>
          </w:p>
        </w:tc>
      </w:tr>
      <w:tr w:rsidR="0030135D" w:rsidTr="0030135D">
        <w:tc>
          <w:tcPr>
            <w:tcW w:w="9997" w:type="dxa"/>
            <w:gridSpan w:val="2"/>
          </w:tcPr>
          <w:p w:rsidR="0030135D" w:rsidRDefault="0030135D"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bookmarkStart w:id="0" w:name="_GoBack"/>
            <w:bookmarkEnd w:id="0"/>
          </w:p>
          <w:p w:rsidR="007F6849" w:rsidRDefault="007F6849"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7F6849" w:rsidRDefault="007F6849"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7F6849" w:rsidRDefault="007F6849"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7F6849" w:rsidRDefault="007F6849"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30135D" w:rsidRDefault="0030135D" w:rsidP="0030135D">
            <w:pPr>
              <w:numPr>
                <w:ilvl w:val="0"/>
                <w:numId w:val="3"/>
              </w:numPr>
              <w:tabs>
                <w:tab w:val="left" w:pos="426"/>
                <w:tab w:val="left" w:pos="851"/>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Lab Management Website Link:  </w:t>
            </w:r>
            <w:hyperlink r:id="rId7" w:history="1">
              <w:r w:rsidRPr="00D768CC">
                <w:rPr>
                  <w:rStyle w:val="Hyperlink"/>
                  <w:rFonts w:ascii="Tunga" w:hAnsi="Tunga" w:cs="Tunga"/>
                  <w:sz w:val="22"/>
                  <w:szCs w:val="22"/>
                  <w:lang w:val="en-US" w:eastAsia="en-GB"/>
                </w:rPr>
                <w:t>www.expmedndm.ox.ac.uk/lab-management</w:t>
              </w:r>
            </w:hyperlink>
            <w:r>
              <w:rPr>
                <w:rFonts w:ascii="Tunga" w:hAnsi="Tunga" w:cs="Tunga"/>
                <w:sz w:val="22"/>
                <w:szCs w:val="22"/>
                <w:lang w:val="en-US" w:eastAsia="en-GB"/>
              </w:rPr>
              <w:t xml:space="preserve"> </w:t>
            </w:r>
          </w:p>
          <w:p w:rsidR="0030135D" w:rsidRDefault="0030135D" w:rsidP="0030135D">
            <w:pPr>
              <w:tabs>
                <w:tab w:val="left" w:pos="426"/>
                <w:tab w:val="left" w:pos="851"/>
              </w:tabs>
              <w:autoSpaceDE w:val="0"/>
              <w:autoSpaceDN w:val="0"/>
              <w:adjustRightInd w:val="0"/>
              <w:ind w:left="360" w:right="142"/>
              <w:jc w:val="both"/>
              <w:rPr>
                <w:rFonts w:ascii="Tunga" w:hAnsi="Tunga" w:cs="Tunga"/>
                <w:sz w:val="22"/>
                <w:szCs w:val="22"/>
                <w:lang w:val="en-US" w:eastAsia="en-GB"/>
              </w:rPr>
            </w:pPr>
          </w:p>
          <w:p w:rsidR="0030135D" w:rsidRPr="00F90C7E" w:rsidRDefault="0030135D" w:rsidP="009677F9">
            <w:pPr>
              <w:autoSpaceDE w:val="0"/>
              <w:autoSpaceDN w:val="0"/>
              <w:adjustRightInd w:val="0"/>
              <w:ind w:right="142"/>
              <w:jc w:val="both"/>
              <w:rPr>
                <w:rFonts w:ascii="Tunga" w:hAnsi="Tunga" w:cs="Tunga"/>
                <w:b/>
                <w:sz w:val="22"/>
                <w:szCs w:val="22"/>
                <w:lang w:val="en-US" w:eastAsia="en-GB"/>
              </w:rPr>
            </w:pPr>
          </w:p>
        </w:tc>
      </w:tr>
      <w:tr w:rsidR="0030135D" w:rsidTr="0030135D">
        <w:tc>
          <w:tcPr>
            <w:tcW w:w="9997" w:type="dxa"/>
            <w:gridSpan w:val="2"/>
          </w:tcPr>
          <w:p w:rsidR="0030135D" w:rsidRPr="0030135D" w:rsidRDefault="0030135D" w:rsidP="007F6849">
            <w:pPr>
              <w:pStyle w:val="ListParagraph"/>
              <w:numPr>
                <w:ilvl w:val="0"/>
                <w:numId w:val="5"/>
              </w:numPr>
              <w:autoSpaceDE w:val="0"/>
              <w:autoSpaceDN w:val="0"/>
              <w:adjustRightInd w:val="0"/>
              <w:ind w:left="851" w:right="142" w:hanging="709"/>
              <w:jc w:val="both"/>
              <w:rPr>
                <w:rFonts w:ascii="Tunga" w:hAnsi="Tunga" w:cs="Tunga"/>
                <w:b/>
                <w:sz w:val="22"/>
                <w:szCs w:val="22"/>
                <w:lang w:val="en-US" w:eastAsia="en-GB"/>
              </w:rPr>
            </w:pPr>
            <w:r w:rsidRPr="0030135D">
              <w:rPr>
                <w:rFonts w:ascii="Tunga" w:hAnsi="Tunga" w:cs="Tunga"/>
                <w:b/>
                <w:sz w:val="22"/>
                <w:szCs w:val="22"/>
                <w:lang w:val="en-US" w:eastAsia="en-GB"/>
              </w:rPr>
              <w:t>Date of next meeting:</w:t>
            </w:r>
            <w:r w:rsidRPr="0030135D">
              <w:rPr>
                <w:rFonts w:ascii="Tunga" w:hAnsi="Tunga" w:cs="Tunga"/>
                <w:sz w:val="22"/>
                <w:szCs w:val="22"/>
                <w:lang w:val="en-US" w:eastAsia="en-GB"/>
              </w:rPr>
              <w:t xml:space="preserve"> Tuesday </w:t>
            </w:r>
            <w:r w:rsidR="007F6849">
              <w:rPr>
                <w:rFonts w:ascii="Tunga" w:hAnsi="Tunga" w:cs="Tunga"/>
                <w:sz w:val="22"/>
                <w:szCs w:val="22"/>
                <w:lang w:val="en-US" w:eastAsia="en-GB"/>
              </w:rPr>
              <w:t>30</w:t>
            </w:r>
            <w:r w:rsidR="007F6849" w:rsidRPr="007F6849">
              <w:rPr>
                <w:rFonts w:ascii="Tunga" w:hAnsi="Tunga" w:cs="Tunga"/>
                <w:sz w:val="22"/>
                <w:szCs w:val="22"/>
                <w:vertAlign w:val="superscript"/>
                <w:lang w:val="en-US" w:eastAsia="en-GB"/>
              </w:rPr>
              <w:t>th</w:t>
            </w:r>
            <w:r w:rsidR="007F6849">
              <w:rPr>
                <w:rFonts w:ascii="Tunga" w:hAnsi="Tunga" w:cs="Tunga"/>
                <w:sz w:val="22"/>
                <w:szCs w:val="22"/>
                <w:lang w:val="en-US" w:eastAsia="en-GB"/>
              </w:rPr>
              <w:t xml:space="preserve"> April, 11am</w:t>
            </w:r>
          </w:p>
        </w:tc>
      </w:tr>
    </w:tbl>
    <w:p w:rsidR="009677F9" w:rsidRDefault="009677F9" w:rsidP="009677F9">
      <w:pPr>
        <w:tabs>
          <w:tab w:val="left" w:pos="2047"/>
        </w:tabs>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ab/>
      </w:r>
    </w:p>
    <w:p w:rsidR="009677F9" w:rsidRDefault="009677F9"/>
    <w:sectPr w:rsidR="009677F9" w:rsidSect="009677F9">
      <w:pgSz w:w="11906" w:h="16838"/>
      <w:pgMar w:top="1440" w:right="99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9.75pt;height:852.7pt" o:bullet="t">
        <v:imagedata r:id="rId1" o:title="MP900430970[1]"/>
      </v:shape>
    </w:pict>
  </w:numPicBullet>
  <w:numPicBullet w:numPicBulletId="1">
    <w:pict>
      <v:shape id="_x0000_i1027" type="#_x0000_t75" style="width:492.7pt;height:7in" o:bullet="t">
        <v:imagedata r:id="rId2" o:title="MP900438989[1]"/>
      </v:shape>
    </w:pict>
  </w:numPicBullet>
  <w:numPicBullet w:numPicBulletId="2">
    <w:pict>
      <v:shape id="_x0000_i1028" type="#_x0000_t75" style="width:2in;height:2in" o:bullet="t">
        <v:imagedata r:id="rId3" o:title="MC900436293[1]"/>
      </v:shape>
    </w:pict>
  </w:numPicBullet>
  <w:abstractNum w:abstractNumId="0">
    <w:nsid w:val="0A935EF1"/>
    <w:multiLevelType w:val="hybridMultilevel"/>
    <w:tmpl w:val="3356E2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E843D22"/>
    <w:multiLevelType w:val="hybridMultilevel"/>
    <w:tmpl w:val="496ACC5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B460C09"/>
    <w:multiLevelType w:val="hybridMultilevel"/>
    <w:tmpl w:val="2C8074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2F13644"/>
    <w:multiLevelType w:val="hybridMultilevel"/>
    <w:tmpl w:val="41F4A600"/>
    <w:lvl w:ilvl="0" w:tplc="B900E842">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4D4762"/>
    <w:multiLevelType w:val="hybridMultilevel"/>
    <w:tmpl w:val="2BDA9AAE"/>
    <w:lvl w:ilvl="0" w:tplc="8E62A680">
      <w:start w:val="1"/>
      <w:numFmt w:val="bullet"/>
      <w:lvlText w:val=""/>
      <w:lvlPicBulletId w:val="2"/>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9F64D5"/>
    <w:multiLevelType w:val="hybridMultilevel"/>
    <w:tmpl w:val="32B6CAC2"/>
    <w:lvl w:ilvl="0" w:tplc="2E9C99E2">
      <w:start w:val="1"/>
      <w:numFmt w:val="bullet"/>
      <w:lvlText w:val=""/>
      <w:lvlPicBulletId w:val="1"/>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BC38DE"/>
    <w:multiLevelType w:val="hybridMultilevel"/>
    <w:tmpl w:val="2D5099EA"/>
    <w:lvl w:ilvl="0" w:tplc="2E9C99E2">
      <w:start w:val="1"/>
      <w:numFmt w:val="bullet"/>
      <w:lvlText w:val=""/>
      <w:lvlPicBulletId w:val="1"/>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stylePaneFormatFilter w:val="3F01"/>
  <w:defaultTabStop w:val="720"/>
  <w:characterSpacingControl w:val="doNotCompress"/>
  <w:compat/>
  <w:rsids>
    <w:rsidRoot w:val="009677F9"/>
    <w:rsid w:val="00056051"/>
    <w:rsid w:val="001B744D"/>
    <w:rsid w:val="0024045D"/>
    <w:rsid w:val="002B58D4"/>
    <w:rsid w:val="0030135D"/>
    <w:rsid w:val="0043128A"/>
    <w:rsid w:val="004E6080"/>
    <w:rsid w:val="004F5604"/>
    <w:rsid w:val="00686271"/>
    <w:rsid w:val="007E2A42"/>
    <w:rsid w:val="007F6849"/>
    <w:rsid w:val="00883239"/>
    <w:rsid w:val="00916F30"/>
    <w:rsid w:val="009677F9"/>
    <w:rsid w:val="009E045C"/>
    <w:rsid w:val="00A56A60"/>
    <w:rsid w:val="00BB630B"/>
    <w:rsid w:val="00C3142B"/>
    <w:rsid w:val="00C73D2D"/>
    <w:rsid w:val="00D42FC9"/>
    <w:rsid w:val="00DE61E6"/>
    <w:rsid w:val="00E27356"/>
    <w:rsid w:val="00E458BB"/>
    <w:rsid w:val="00F149CA"/>
    <w:rsid w:val="00F90C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F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77F9"/>
    <w:pPr>
      <w:ind w:left="720"/>
      <w:contextualSpacing/>
    </w:pPr>
  </w:style>
  <w:style w:type="character" w:styleId="Hyperlink">
    <w:name w:val="Hyperlink"/>
    <w:basedOn w:val="DefaultParagraphFont"/>
    <w:rsid w:val="0030135D"/>
    <w:rPr>
      <w:color w:val="3333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F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77F9"/>
    <w:pPr>
      <w:ind w:left="720"/>
      <w:contextualSpacing/>
    </w:pPr>
  </w:style>
  <w:style w:type="character" w:styleId="Hyperlink">
    <w:name w:val="Hyperlink"/>
    <w:basedOn w:val="DefaultParagraphFont"/>
    <w:rsid w:val="0030135D"/>
    <w:rPr>
      <w:color w:val="3333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pmedndm.ox.ac.uk/lab-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5" Type="http://schemas.openxmlformats.org/officeDocument/2006/relationships/image" Target="media/image4.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887</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smorrish</dc:creator>
  <cp:keywords/>
  <dc:description/>
  <cp:lastModifiedBy>Karen Clifford</cp:lastModifiedBy>
  <cp:revision>4</cp:revision>
  <cp:lastPrinted>2013-02-04T09:04:00Z</cp:lastPrinted>
  <dcterms:created xsi:type="dcterms:W3CDTF">2013-02-04T10:02:00Z</dcterms:created>
  <dcterms:modified xsi:type="dcterms:W3CDTF">2013-02-04T13:23:00Z</dcterms:modified>
</cp:coreProperties>
</file>