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F9" w:rsidRPr="000C2FA1" w:rsidRDefault="009677F9" w:rsidP="009677F9">
      <w:pPr>
        <w:rPr>
          <w:color w:val="000080"/>
        </w:rPr>
      </w:pPr>
      <w:r>
        <w:rPr>
          <w:noProof/>
          <w:color w:val="000080"/>
          <w:lang w:val="en-US"/>
        </w:rPr>
        <w:drawing>
          <wp:anchor distT="0" distB="0" distL="114300" distR="114300" simplePos="0" relativeHeight="251659264" behindDoc="0" locked="0" layoutInCell="1" allowOverlap="1">
            <wp:simplePos x="0" y="0"/>
            <wp:positionH relativeFrom="column">
              <wp:posOffset>5057775</wp:posOffset>
            </wp:positionH>
            <wp:positionV relativeFrom="paragraph">
              <wp:posOffset>-668020</wp:posOffset>
            </wp:positionV>
            <wp:extent cx="1104265" cy="1089660"/>
            <wp:effectExtent l="0" t="0" r="63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04265" cy="1089660"/>
                    </a:xfrm>
                    <a:prstGeom prst="rect">
                      <a:avLst/>
                    </a:prstGeom>
                    <a:noFill/>
                    <a:ln w="9525">
                      <a:noFill/>
                      <a:miter lim="800000"/>
                      <a:headEnd/>
                      <a:tailEnd/>
                    </a:ln>
                  </pic:spPr>
                </pic:pic>
              </a:graphicData>
            </a:graphic>
          </wp:anchor>
        </w:drawing>
      </w:r>
      <w:r>
        <w:rPr>
          <w:noProof/>
          <w:color w:val="000080"/>
          <w:lang w:val="en-US"/>
        </w:rPr>
        <w:drawing>
          <wp:anchor distT="0" distB="0" distL="114300" distR="114300" simplePos="0" relativeHeight="251660288" behindDoc="0" locked="0" layoutInCell="1" allowOverlap="1">
            <wp:simplePos x="0" y="0"/>
            <wp:positionH relativeFrom="column">
              <wp:posOffset>-48895</wp:posOffset>
            </wp:positionH>
            <wp:positionV relativeFrom="paragraph">
              <wp:posOffset>-345440</wp:posOffset>
            </wp:positionV>
            <wp:extent cx="2692400" cy="762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92400" cy="762000"/>
                    </a:xfrm>
                    <a:prstGeom prst="rect">
                      <a:avLst/>
                    </a:prstGeom>
                    <a:noFill/>
                    <a:ln w="9525">
                      <a:noFill/>
                      <a:miter lim="800000"/>
                      <a:headEnd/>
                      <a:tailEnd/>
                    </a:ln>
                  </pic:spPr>
                </pic:pic>
              </a:graphicData>
            </a:graphic>
          </wp:anchor>
        </w:drawing>
      </w:r>
    </w:p>
    <w:p w:rsidR="009677F9" w:rsidRDefault="009677F9" w:rsidP="009677F9">
      <w:pPr>
        <w:rPr>
          <w:b/>
          <w:color w:val="333399"/>
        </w:rPr>
      </w:pPr>
    </w:p>
    <w:p w:rsidR="009677F9" w:rsidRDefault="009677F9" w:rsidP="009677F9">
      <w:pPr>
        <w:rPr>
          <w:rFonts w:ascii="Tunga" w:hAnsi="Tunga" w:cs="Tunga"/>
          <w:b/>
          <w:color w:val="333399"/>
          <w:sz w:val="20"/>
          <w:szCs w:val="20"/>
        </w:rPr>
      </w:pPr>
      <w:r w:rsidRPr="006142AA">
        <w:rPr>
          <w:b/>
          <w:color w:val="333399"/>
        </w:rPr>
        <w:t>_____________________________________________________________________</w:t>
      </w:r>
      <w:r>
        <w:rPr>
          <w:b/>
          <w:color w:val="333399"/>
        </w:rPr>
        <w:t>____________</w:t>
      </w:r>
      <w:r>
        <w:rPr>
          <w:rFonts w:ascii="Tunga" w:hAnsi="Tunga" w:cs="Tunga"/>
          <w:b/>
          <w:color w:val="333399"/>
          <w:sz w:val="20"/>
          <w:szCs w:val="20"/>
        </w:rPr>
        <w:t xml:space="preserve">           </w:t>
      </w:r>
    </w:p>
    <w:p w:rsidR="009677F9" w:rsidRDefault="009677F9" w:rsidP="009677F9">
      <w:r>
        <w:rPr>
          <w:rFonts w:ascii="Tunga" w:hAnsi="Tunga" w:cs="Tunga"/>
          <w:b/>
          <w:color w:val="333399"/>
          <w:sz w:val="20"/>
          <w:szCs w:val="20"/>
        </w:rPr>
        <w:t>Experimental Medicine Division</w:t>
      </w:r>
      <w:r>
        <w:t xml:space="preserve">                  </w:t>
      </w:r>
    </w:p>
    <w:p w:rsidR="001B744D" w:rsidRDefault="001B744D"/>
    <w:p w:rsidR="0030135D" w:rsidRDefault="0030135D" w:rsidP="009677F9">
      <w:pPr>
        <w:autoSpaceDE w:val="0"/>
        <w:autoSpaceDN w:val="0"/>
        <w:adjustRightInd w:val="0"/>
        <w:ind w:right="142"/>
        <w:jc w:val="both"/>
      </w:pPr>
    </w:p>
    <w:p w:rsidR="0030135D" w:rsidRDefault="0030135D" w:rsidP="009677F9">
      <w:pPr>
        <w:autoSpaceDE w:val="0"/>
        <w:autoSpaceDN w:val="0"/>
        <w:adjustRightInd w:val="0"/>
        <w:ind w:right="142"/>
        <w:jc w:val="both"/>
      </w:pPr>
    </w:p>
    <w:p w:rsidR="009677F9" w:rsidRPr="00464121" w:rsidRDefault="009677F9" w:rsidP="009677F9">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9677F9" w:rsidRPr="0030135D" w:rsidRDefault="0030135D" w:rsidP="0030135D">
      <w:pPr>
        <w:pStyle w:val="ListParagraph"/>
        <w:numPr>
          <w:ilvl w:val="0"/>
          <w:numId w:val="6"/>
        </w:numPr>
        <w:autoSpaceDE w:val="0"/>
        <w:autoSpaceDN w:val="0"/>
        <w:adjustRightInd w:val="0"/>
        <w:ind w:right="142" w:hanging="720"/>
        <w:jc w:val="both"/>
        <w:rPr>
          <w:rFonts w:ascii="Tunga" w:hAnsi="Tunga" w:cs="Tunga"/>
          <w:sz w:val="22"/>
          <w:szCs w:val="22"/>
          <w:lang w:val="en-US" w:eastAsia="en-GB"/>
        </w:rPr>
      </w:pPr>
      <w:r w:rsidRPr="0030135D">
        <w:rPr>
          <w:rFonts w:ascii="Tunga" w:hAnsi="Tunga" w:cs="Tunga"/>
          <w:sz w:val="22"/>
          <w:szCs w:val="22"/>
          <w:lang w:val="en-US" w:eastAsia="en-GB"/>
        </w:rPr>
        <w:t>2</w:t>
      </w:r>
      <w:r>
        <w:rPr>
          <w:rFonts w:ascii="Tunga" w:hAnsi="Tunga" w:cs="Tunga"/>
          <w:sz w:val="22"/>
          <w:szCs w:val="22"/>
          <w:lang w:val="en-US" w:eastAsia="en-GB"/>
        </w:rPr>
        <w:t>3</w:t>
      </w:r>
      <w:r w:rsidRPr="0030135D">
        <w:rPr>
          <w:rFonts w:ascii="Tunga" w:hAnsi="Tunga" w:cs="Tunga"/>
          <w:sz w:val="22"/>
          <w:szCs w:val="22"/>
          <w:vertAlign w:val="superscript"/>
          <w:lang w:val="en-US" w:eastAsia="en-GB"/>
        </w:rPr>
        <w:t>rd</w:t>
      </w:r>
      <w:r>
        <w:rPr>
          <w:rFonts w:ascii="Tunga" w:hAnsi="Tunga" w:cs="Tunga"/>
          <w:sz w:val="22"/>
          <w:szCs w:val="22"/>
          <w:lang w:val="en-US" w:eastAsia="en-GB"/>
        </w:rPr>
        <w:t xml:space="preserve"> </w:t>
      </w:r>
      <w:r w:rsidRPr="0030135D">
        <w:rPr>
          <w:rFonts w:ascii="Tunga" w:hAnsi="Tunga" w:cs="Tunga"/>
          <w:sz w:val="22"/>
          <w:szCs w:val="22"/>
          <w:lang w:val="en-US" w:eastAsia="en-GB"/>
        </w:rPr>
        <w:t>October 2012</w:t>
      </w: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Pr>
          <w:rFonts w:ascii="Tunga" w:hAnsi="Tunga" w:cs="Tunga"/>
          <w:sz w:val="22"/>
          <w:szCs w:val="22"/>
          <w:lang w:val="en-US" w:eastAsia="en-GB"/>
        </w:rPr>
        <w:t xml:space="preserve"> Karen Clifford, Robin Sparkes, Carolina Arancibia, </w:t>
      </w:r>
      <w:r w:rsidR="003C045E">
        <w:rPr>
          <w:rFonts w:ascii="Tunga" w:hAnsi="Tunga" w:cs="Tunga"/>
          <w:sz w:val="22"/>
          <w:szCs w:val="22"/>
          <w:lang w:val="en-US" w:eastAsia="en-GB"/>
        </w:rPr>
        <w:t>S</w:t>
      </w:r>
      <w:r>
        <w:rPr>
          <w:rFonts w:ascii="Tunga" w:hAnsi="Tunga" w:cs="Tunga"/>
          <w:sz w:val="22"/>
          <w:szCs w:val="22"/>
          <w:lang w:val="en-US" w:eastAsia="en-GB"/>
        </w:rPr>
        <w:t>arah Morrish, Kate Alford, Andrew Thomson, Dai Griffiths, Derek Hood, Graham Ross, Jo Hovard, Donald Warden</w:t>
      </w:r>
      <w:r w:rsidR="005258D6">
        <w:rPr>
          <w:rFonts w:ascii="Tunga" w:hAnsi="Tunga" w:cs="Tunga"/>
          <w:sz w:val="22"/>
          <w:szCs w:val="22"/>
          <w:lang w:val="en-US" w:eastAsia="en-GB"/>
        </w:rPr>
        <w:t>, Michalis Papadakis</w:t>
      </w: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Fiona Powrie, Brad Sutherland, Jon Silk, Julie Hamilton, Jenny Middleton, Phillip Allen</w:t>
      </w:r>
      <w:r w:rsidRPr="009677F9">
        <w:rPr>
          <w:rFonts w:ascii="Tunga" w:hAnsi="Tunga" w:cs="Tunga"/>
          <w:sz w:val="22"/>
          <w:szCs w:val="22"/>
          <w:lang w:val="en-US" w:eastAsia="en-GB"/>
        </w:rPr>
        <w:t xml:space="preserve"> </w:t>
      </w:r>
      <w:r>
        <w:rPr>
          <w:rFonts w:ascii="Tunga" w:hAnsi="Tunga" w:cs="Tunga"/>
          <w:sz w:val="22"/>
          <w:szCs w:val="22"/>
          <w:lang w:val="en-US" w:eastAsia="en-GB"/>
        </w:rPr>
        <w:t>Joy Bull</w:t>
      </w:r>
    </w:p>
    <w:p w:rsidR="009677F9" w:rsidRDefault="009677F9" w:rsidP="009677F9">
      <w:pPr>
        <w:autoSpaceDE w:val="0"/>
        <w:autoSpaceDN w:val="0"/>
        <w:adjustRightInd w:val="0"/>
        <w:ind w:right="142"/>
        <w:jc w:val="both"/>
        <w:rPr>
          <w:rFonts w:ascii="Tunga" w:hAnsi="Tunga" w:cs="Tunga"/>
          <w:sz w:val="22"/>
          <w:szCs w:val="22"/>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525"/>
      </w:tblGrid>
      <w:tr w:rsidR="009677F9" w:rsidTr="0030135D">
        <w:tc>
          <w:tcPr>
            <w:tcW w:w="8472" w:type="dxa"/>
            <w:tcBorders>
              <w:right w:val="single" w:sz="4" w:space="0" w:color="auto"/>
            </w:tcBorders>
          </w:tcPr>
          <w:p w:rsidR="009677F9" w:rsidRDefault="009677F9" w:rsidP="009677F9">
            <w:pPr>
              <w:autoSpaceDE w:val="0"/>
              <w:autoSpaceDN w:val="0"/>
              <w:adjustRightInd w:val="0"/>
              <w:ind w:right="142"/>
              <w:jc w:val="both"/>
              <w:rPr>
                <w:rFonts w:ascii="Tunga" w:hAnsi="Tunga" w:cs="Tunga"/>
                <w:sz w:val="22"/>
                <w:szCs w:val="22"/>
                <w:lang w:val="en-US" w:eastAsia="en-GB"/>
              </w:rPr>
            </w:pPr>
          </w:p>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30135D" w:rsidRDefault="009677F9" w:rsidP="009677F9">
            <w:pPr>
              <w:autoSpaceDE w:val="0"/>
              <w:autoSpaceDN w:val="0"/>
              <w:adjustRightInd w:val="0"/>
              <w:ind w:right="142"/>
              <w:jc w:val="both"/>
              <w:rPr>
                <w:rFonts w:ascii="Tunga" w:hAnsi="Tunga" w:cs="Tunga"/>
                <w:b/>
                <w:sz w:val="22"/>
                <w:szCs w:val="22"/>
                <w:u w:val="single"/>
                <w:lang w:val="en-US" w:eastAsia="en-GB"/>
              </w:rPr>
            </w:pPr>
            <w:r w:rsidRPr="0030135D">
              <w:rPr>
                <w:rFonts w:ascii="Tunga" w:hAnsi="Tunga" w:cs="Tunga"/>
                <w:b/>
                <w:sz w:val="22"/>
                <w:szCs w:val="22"/>
                <w:u w:val="single"/>
                <w:lang w:val="en-US" w:eastAsia="en-GB"/>
              </w:rPr>
              <w:t>Action</w:t>
            </w:r>
          </w:p>
        </w:tc>
      </w:tr>
      <w:tr w:rsidR="009677F9" w:rsidTr="0030135D">
        <w:tc>
          <w:tcPr>
            <w:tcW w:w="8472" w:type="dxa"/>
            <w:tcBorders>
              <w:right w:val="single" w:sz="4" w:space="0" w:color="auto"/>
            </w:tcBorders>
          </w:tcPr>
          <w:p w:rsidR="009677F9" w:rsidRDefault="009677F9" w:rsidP="009677F9">
            <w:pPr>
              <w:pStyle w:val="ListParagraph"/>
              <w:numPr>
                <w:ilvl w:val="0"/>
                <w:numId w:val="1"/>
              </w:numPr>
              <w:autoSpaceDE w:val="0"/>
              <w:autoSpaceDN w:val="0"/>
              <w:adjustRightInd w:val="0"/>
              <w:ind w:right="142"/>
              <w:jc w:val="both"/>
              <w:rPr>
                <w:rFonts w:ascii="Tunga" w:hAnsi="Tunga" w:cs="Tunga"/>
                <w:b/>
                <w:sz w:val="22"/>
                <w:szCs w:val="22"/>
                <w:lang w:val="en-US" w:eastAsia="en-GB"/>
              </w:rPr>
            </w:pPr>
            <w:r w:rsidRPr="00F90C7E">
              <w:rPr>
                <w:rFonts w:ascii="Tunga" w:hAnsi="Tunga" w:cs="Tunga"/>
                <w:b/>
                <w:sz w:val="22"/>
                <w:szCs w:val="22"/>
                <w:lang w:val="en-US" w:eastAsia="en-GB"/>
              </w:rPr>
              <w:t>Outstanding items from last meeting</w:t>
            </w:r>
          </w:p>
          <w:p w:rsidR="00F90C7E" w:rsidRPr="00F90C7E" w:rsidRDefault="00F90C7E" w:rsidP="00F90C7E">
            <w:pPr>
              <w:pStyle w:val="ListParagraph"/>
              <w:autoSpaceDE w:val="0"/>
              <w:autoSpaceDN w:val="0"/>
              <w:adjustRightInd w:val="0"/>
              <w:ind w:left="360" w:right="142"/>
              <w:jc w:val="both"/>
              <w:rPr>
                <w:rFonts w:ascii="Tunga" w:hAnsi="Tunga" w:cs="Tunga"/>
                <w:b/>
                <w:sz w:val="22"/>
                <w:szCs w:val="22"/>
                <w:lang w:val="en-US" w:eastAsia="en-GB"/>
              </w:rPr>
            </w:pPr>
          </w:p>
          <w:p w:rsidR="009677F9" w:rsidRDefault="009677F9" w:rsidP="009677F9">
            <w:pPr>
              <w:pStyle w:val="ListParagraph"/>
              <w:numPr>
                <w:ilvl w:val="0"/>
                <w:numId w:val="2"/>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The Health and Safety Reports are still outstanding.  Graham assured the Committee that they would be ready for the January meeting.</w:t>
            </w:r>
          </w:p>
          <w:p w:rsidR="00F90C7E" w:rsidRPr="009677F9" w:rsidRDefault="00F90C7E" w:rsidP="00F90C7E">
            <w:pPr>
              <w:pStyle w:val="ListParagraph"/>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F90C7E" w:rsidRDefault="00F90C7E" w:rsidP="009677F9">
            <w:pPr>
              <w:autoSpaceDE w:val="0"/>
              <w:autoSpaceDN w:val="0"/>
              <w:adjustRightInd w:val="0"/>
              <w:ind w:right="142"/>
              <w:jc w:val="both"/>
              <w:rPr>
                <w:rFonts w:ascii="Tunga" w:hAnsi="Tunga" w:cs="Tunga"/>
                <w:b/>
                <w:sz w:val="22"/>
                <w:szCs w:val="22"/>
                <w:lang w:val="en-US" w:eastAsia="en-GB"/>
              </w:rPr>
            </w:pPr>
          </w:p>
          <w:p w:rsidR="009677F9" w:rsidRPr="00F90C7E" w:rsidRDefault="009677F9" w:rsidP="009677F9">
            <w:pPr>
              <w:autoSpaceDE w:val="0"/>
              <w:autoSpaceDN w:val="0"/>
              <w:adjustRightInd w:val="0"/>
              <w:ind w:right="142"/>
              <w:jc w:val="both"/>
              <w:rPr>
                <w:rFonts w:ascii="Tunga" w:hAnsi="Tunga" w:cs="Tunga"/>
                <w:b/>
                <w:sz w:val="22"/>
                <w:szCs w:val="22"/>
                <w:lang w:val="en-US" w:eastAsia="en-GB"/>
              </w:rPr>
            </w:pPr>
            <w:r w:rsidRPr="00F90C7E">
              <w:rPr>
                <w:rFonts w:ascii="Tunga" w:hAnsi="Tunga" w:cs="Tunga"/>
                <w:b/>
                <w:sz w:val="22"/>
                <w:szCs w:val="22"/>
                <w:lang w:val="en-US" w:eastAsia="en-GB"/>
              </w:rPr>
              <w:t>GR</w:t>
            </w:r>
          </w:p>
        </w:tc>
      </w:tr>
      <w:tr w:rsidR="009677F9" w:rsidTr="0030135D">
        <w:tc>
          <w:tcPr>
            <w:tcW w:w="8472" w:type="dxa"/>
            <w:tcBorders>
              <w:right w:val="single" w:sz="4" w:space="0" w:color="auto"/>
            </w:tcBorders>
          </w:tcPr>
          <w:p w:rsidR="009677F9" w:rsidRPr="00F90C7E" w:rsidRDefault="009677F9" w:rsidP="0030135D">
            <w:pPr>
              <w:pStyle w:val="ListParagraph"/>
              <w:numPr>
                <w:ilvl w:val="0"/>
                <w:numId w:val="2"/>
              </w:numPr>
              <w:autoSpaceDE w:val="0"/>
              <w:autoSpaceDN w:val="0"/>
              <w:adjustRightInd w:val="0"/>
              <w:ind w:right="142"/>
              <w:jc w:val="both"/>
              <w:rPr>
                <w:rFonts w:ascii="Tunga" w:hAnsi="Tunga" w:cs="Tunga"/>
                <w:sz w:val="22"/>
                <w:szCs w:val="22"/>
                <w:lang w:val="en-US" w:eastAsia="en-GB"/>
              </w:rPr>
            </w:pPr>
            <w:r w:rsidRPr="00F90C7E">
              <w:rPr>
                <w:rFonts w:ascii="Tunga" w:hAnsi="Tunga" w:cs="Tunga"/>
                <w:sz w:val="22"/>
                <w:szCs w:val="22"/>
                <w:lang w:val="en-US" w:eastAsia="en-GB"/>
              </w:rPr>
              <w:t xml:space="preserve">Limb bin collection on L7 is still an on-going issue.  L5 have a regular </w:t>
            </w:r>
            <w:r w:rsidR="0030135D">
              <w:rPr>
                <w:rFonts w:ascii="Tunga" w:hAnsi="Tunga" w:cs="Tunga"/>
                <w:sz w:val="22"/>
                <w:szCs w:val="22"/>
                <w:lang w:val="en-US" w:eastAsia="en-GB"/>
              </w:rPr>
              <w:t>Carillio</w:t>
            </w:r>
            <w:r w:rsidR="00F90C7E" w:rsidRPr="00F90C7E">
              <w:rPr>
                <w:rFonts w:ascii="Tunga" w:hAnsi="Tunga" w:cs="Tunga"/>
                <w:sz w:val="22"/>
                <w:szCs w:val="22"/>
                <w:lang w:val="en-US" w:eastAsia="en-GB"/>
              </w:rPr>
              <w:t>n worker so bins get collected from the labs but L7 have a high turnaround of C</w:t>
            </w:r>
            <w:r w:rsidR="0030135D">
              <w:rPr>
                <w:rFonts w:ascii="Tunga" w:hAnsi="Tunga" w:cs="Tunga"/>
                <w:sz w:val="22"/>
                <w:szCs w:val="22"/>
                <w:lang w:val="en-US" w:eastAsia="en-GB"/>
              </w:rPr>
              <w:t>arillio</w:t>
            </w:r>
            <w:r w:rsidR="00F90C7E" w:rsidRPr="00F90C7E">
              <w:rPr>
                <w:rFonts w:ascii="Tunga" w:hAnsi="Tunga" w:cs="Tunga"/>
                <w:sz w:val="22"/>
                <w:szCs w:val="22"/>
                <w:lang w:val="en-US" w:eastAsia="en-GB"/>
              </w:rPr>
              <w:t>n staff so not everyone has access to the labs to collect the bins easily.  Graham said that leaving bins in the corridor was not a sensible option.  He will speak with C</w:t>
            </w:r>
            <w:r w:rsidR="0030135D">
              <w:rPr>
                <w:rFonts w:ascii="Tunga" w:hAnsi="Tunga" w:cs="Tunga"/>
                <w:sz w:val="22"/>
                <w:szCs w:val="22"/>
                <w:lang w:val="en-US" w:eastAsia="en-GB"/>
              </w:rPr>
              <w:t>arillio</w:t>
            </w:r>
            <w:r w:rsidR="00F90C7E" w:rsidRPr="00F90C7E">
              <w:rPr>
                <w:rFonts w:ascii="Tunga" w:hAnsi="Tunga" w:cs="Tunga"/>
                <w:sz w:val="22"/>
                <w:szCs w:val="22"/>
                <w:lang w:val="en-US" w:eastAsia="en-GB"/>
              </w:rPr>
              <w:t>n to find out of there is a contact that can be given access to the L7 labs.</w:t>
            </w: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r w:rsidRPr="00F90C7E">
              <w:rPr>
                <w:rFonts w:ascii="Tunga" w:hAnsi="Tunga" w:cs="Tunga"/>
                <w:b/>
                <w:sz w:val="22"/>
                <w:szCs w:val="22"/>
                <w:lang w:val="en-US" w:eastAsia="en-GB"/>
              </w:rPr>
              <w:t>GR</w:t>
            </w:r>
          </w:p>
        </w:tc>
      </w:tr>
      <w:tr w:rsidR="009677F9" w:rsidTr="0030135D">
        <w:tc>
          <w:tcPr>
            <w:tcW w:w="8472" w:type="dxa"/>
            <w:tcBorders>
              <w:right w:val="single" w:sz="4" w:space="0" w:color="auto"/>
            </w:tcBorders>
          </w:tcPr>
          <w:p w:rsidR="009677F9" w:rsidRDefault="009677F9" w:rsidP="009677F9">
            <w:pPr>
              <w:autoSpaceDE w:val="0"/>
              <w:autoSpaceDN w:val="0"/>
              <w:adjustRightInd w:val="0"/>
              <w:ind w:right="142"/>
              <w:jc w:val="both"/>
              <w:rPr>
                <w:rFonts w:ascii="Tunga" w:hAnsi="Tunga" w:cs="Tunga"/>
                <w:sz w:val="22"/>
                <w:szCs w:val="22"/>
                <w:lang w:val="en-US" w:eastAsia="en-GB"/>
              </w:rPr>
            </w:pPr>
          </w:p>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F90C7E" w:rsidP="00F90C7E">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Safety Office Memos/Policies</w:t>
            </w:r>
          </w:p>
          <w:p w:rsidR="00F90C7E" w:rsidRPr="00F90C7E" w:rsidRDefault="00F90C7E" w:rsidP="00F90C7E">
            <w:pPr>
              <w:pStyle w:val="ListParagraph"/>
              <w:autoSpaceDE w:val="0"/>
              <w:autoSpaceDN w:val="0"/>
              <w:adjustRightInd w:val="0"/>
              <w:ind w:left="360" w:right="142"/>
              <w:jc w:val="both"/>
              <w:rPr>
                <w:rFonts w:ascii="Tunga" w:hAnsi="Tunga" w:cs="Tunga"/>
                <w:b/>
                <w:sz w:val="22"/>
                <w:szCs w:val="22"/>
                <w:lang w:val="en-US" w:eastAsia="en-GB"/>
              </w:rPr>
            </w:pPr>
          </w:p>
          <w:p w:rsidR="00F90C7E" w:rsidRDefault="00F90C7E" w:rsidP="00F90C7E">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b/>
                <w:sz w:val="22"/>
                <w:szCs w:val="22"/>
                <w:lang w:val="en-US" w:eastAsia="en-GB"/>
              </w:rPr>
              <w:t>S1/12</w:t>
            </w:r>
            <w:r>
              <w:rPr>
                <w:rFonts w:ascii="Tunga" w:hAnsi="Tunga" w:cs="Tunga"/>
                <w:sz w:val="22"/>
                <w:szCs w:val="22"/>
                <w:lang w:val="en-US" w:eastAsia="en-GB"/>
              </w:rPr>
              <w:t xml:space="preserve"> – This policy has now been published on the website.</w:t>
            </w:r>
          </w:p>
          <w:p w:rsidR="00F90C7E" w:rsidRDefault="00F90C7E" w:rsidP="00F90C7E">
            <w:pPr>
              <w:pStyle w:val="ListParagraph"/>
              <w:autoSpaceDE w:val="0"/>
              <w:autoSpaceDN w:val="0"/>
              <w:adjustRightInd w:val="0"/>
              <w:ind w:left="0" w:right="142"/>
              <w:jc w:val="both"/>
              <w:rPr>
                <w:rFonts w:ascii="Tunga" w:hAnsi="Tunga" w:cs="Tunga"/>
                <w:sz w:val="22"/>
                <w:szCs w:val="22"/>
                <w:lang w:val="en-US" w:eastAsia="en-GB"/>
              </w:rPr>
            </w:pPr>
          </w:p>
          <w:p w:rsidR="00F90C7E" w:rsidRPr="00F90C7E" w:rsidRDefault="00F90C7E" w:rsidP="00F90C7E">
            <w:pPr>
              <w:pStyle w:val="ListParagraph"/>
              <w:autoSpaceDE w:val="0"/>
              <w:autoSpaceDN w:val="0"/>
              <w:adjustRightInd w:val="0"/>
              <w:ind w:left="0" w:right="142"/>
              <w:jc w:val="both"/>
              <w:rPr>
                <w:rFonts w:ascii="Tunga" w:hAnsi="Tunga" w:cs="Tunga"/>
                <w:b/>
                <w:sz w:val="22"/>
                <w:szCs w:val="22"/>
                <w:lang w:val="en-US" w:eastAsia="en-GB"/>
              </w:rPr>
            </w:pPr>
            <w:r w:rsidRPr="00F90C7E">
              <w:rPr>
                <w:rFonts w:ascii="Tunga" w:hAnsi="Tunga" w:cs="Tunga"/>
                <w:b/>
                <w:sz w:val="22"/>
                <w:szCs w:val="22"/>
                <w:lang w:val="en-US" w:eastAsia="en-GB"/>
              </w:rPr>
              <w:t>M10/12</w:t>
            </w:r>
            <w:r>
              <w:rPr>
                <w:rFonts w:ascii="Tunga" w:hAnsi="Tunga" w:cs="Tunga"/>
                <w:sz w:val="22"/>
                <w:szCs w:val="22"/>
                <w:lang w:val="en-US" w:eastAsia="en-GB"/>
              </w:rPr>
              <w:t xml:space="preserve"> </w:t>
            </w:r>
            <w:r w:rsidRPr="00F90C7E">
              <w:rPr>
                <w:rFonts w:ascii="Tunga" w:hAnsi="Tunga" w:cs="Tunga"/>
                <w:sz w:val="22"/>
                <w:szCs w:val="22"/>
                <w:lang w:val="en-US" w:eastAsia="en-GB"/>
              </w:rPr>
              <w:t>– Karen has done the departmental risk assessments but has not heard anything back as yet.</w:t>
            </w: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9677F9"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F90C7E" w:rsidP="003C045E">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Graham told the Committee that a skin care policy</w:t>
            </w:r>
            <w:r w:rsidR="003C045E">
              <w:rPr>
                <w:rFonts w:ascii="Tunga" w:hAnsi="Tunga" w:cs="Tunga"/>
                <w:sz w:val="22"/>
                <w:szCs w:val="22"/>
                <w:lang w:val="en-US" w:eastAsia="en-GB"/>
              </w:rPr>
              <w:t xml:space="preserve"> regarding the use of emollients</w:t>
            </w:r>
            <w:r>
              <w:rPr>
                <w:rFonts w:ascii="Tunga" w:hAnsi="Tunga" w:cs="Tunga"/>
                <w:sz w:val="22"/>
                <w:szCs w:val="22"/>
                <w:lang w:val="en-US" w:eastAsia="en-GB"/>
              </w:rPr>
              <w:t xml:space="preserve"> had been updated</w:t>
            </w:r>
            <w:r w:rsidR="00916F30">
              <w:rPr>
                <w:rFonts w:ascii="Tunga" w:hAnsi="Tunga" w:cs="Tunga"/>
                <w:sz w:val="22"/>
                <w:szCs w:val="22"/>
                <w:lang w:val="en-US" w:eastAsia="en-GB"/>
              </w:rPr>
              <w:t xml:space="preserve"> and is available on the University website</w:t>
            </w:r>
            <w:r w:rsidR="003C045E">
              <w:rPr>
                <w:rFonts w:ascii="Tunga" w:hAnsi="Tunga" w:cs="Tunga"/>
                <w:sz w:val="22"/>
                <w:szCs w:val="22"/>
                <w:lang w:val="en-US" w:eastAsia="en-GB"/>
              </w:rPr>
              <w:t xml:space="preserve">.  </w:t>
            </w:r>
            <w:r w:rsidR="00916F30">
              <w:rPr>
                <w:rFonts w:ascii="Tunga" w:hAnsi="Tunga" w:cs="Tunga"/>
                <w:sz w:val="22"/>
                <w:szCs w:val="22"/>
                <w:lang w:val="en-US" w:eastAsia="en-GB"/>
              </w:rPr>
              <w:t xml:space="preserve">Graham said that there should be no personal hand creams or cosmetics in the labs.  Graham suggested that Karen do a review of what is in the labs already.  </w:t>
            </w:r>
          </w:p>
        </w:tc>
        <w:tc>
          <w:tcPr>
            <w:tcW w:w="1525" w:type="dxa"/>
            <w:tcBorders>
              <w:left w:val="single" w:sz="4" w:space="0" w:color="auto"/>
            </w:tcBorders>
          </w:tcPr>
          <w:p w:rsidR="009677F9" w:rsidRDefault="009677F9" w:rsidP="009677F9">
            <w:pPr>
              <w:autoSpaceDE w:val="0"/>
              <w:autoSpaceDN w:val="0"/>
              <w:adjustRightInd w:val="0"/>
              <w:ind w:right="142"/>
              <w:jc w:val="both"/>
              <w:rPr>
                <w:rFonts w:ascii="Tunga" w:hAnsi="Tunga" w:cs="Tunga"/>
                <w:b/>
                <w:sz w:val="22"/>
                <w:szCs w:val="22"/>
                <w:lang w:val="en-US" w:eastAsia="en-GB"/>
              </w:rPr>
            </w:pPr>
          </w:p>
          <w:p w:rsidR="00916F30" w:rsidRDefault="00916F30" w:rsidP="009677F9">
            <w:pPr>
              <w:autoSpaceDE w:val="0"/>
              <w:autoSpaceDN w:val="0"/>
              <w:adjustRightInd w:val="0"/>
              <w:ind w:right="142"/>
              <w:jc w:val="both"/>
              <w:rPr>
                <w:rFonts w:ascii="Tunga" w:hAnsi="Tunga" w:cs="Tunga"/>
                <w:b/>
                <w:sz w:val="22"/>
                <w:szCs w:val="22"/>
                <w:lang w:val="en-US" w:eastAsia="en-GB"/>
              </w:rPr>
            </w:pPr>
          </w:p>
          <w:p w:rsidR="00916F30" w:rsidRDefault="00916F30" w:rsidP="009677F9">
            <w:pPr>
              <w:autoSpaceDE w:val="0"/>
              <w:autoSpaceDN w:val="0"/>
              <w:adjustRightInd w:val="0"/>
              <w:ind w:right="142"/>
              <w:jc w:val="both"/>
              <w:rPr>
                <w:rFonts w:ascii="Tunga" w:hAnsi="Tunga" w:cs="Tunga"/>
                <w:b/>
                <w:sz w:val="22"/>
                <w:szCs w:val="22"/>
                <w:lang w:val="en-US" w:eastAsia="en-GB"/>
              </w:rPr>
            </w:pPr>
          </w:p>
          <w:p w:rsidR="00916F30" w:rsidRPr="00F90C7E" w:rsidRDefault="00916F30"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KC</w:t>
            </w:r>
          </w:p>
        </w:tc>
      </w:tr>
      <w:tr w:rsidR="009677F9" w:rsidTr="0030135D">
        <w:tc>
          <w:tcPr>
            <w:tcW w:w="8472" w:type="dxa"/>
            <w:tcBorders>
              <w:right w:val="single" w:sz="4" w:space="0" w:color="auto"/>
            </w:tcBorders>
          </w:tcPr>
          <w:p w:rsidR="009677F9" w:rsidRDefault="009677F9" w:rsidP="009677F9">
            <w:pPr>
              <w:autoSpaceDE w:val="0"/>
              <w:autoSpaceDN w:val="0"/>
              <w:adjustRightInd w:val="0"/>
              <w:ind w:right="142"/>
              <w:jc w:val="both"/>
              <w:rPr>
                <w:rFonts w:ascii="Tunga" w:hAnsi="Tunga" w:cs="Tunga"/>
                <w:sz w:val="22"/>
                <w:szCs w:val="22"/>
                <w:lang w:val="en-US" w:eastAsia="en-GB"/>
              </w:rPr>
            </w:pPr>
          </w:p>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916F30" w:rsidP="00916F30">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Accident/Incident Reports</w:t>
            </w:r>
          </w:p>
          <w:p w:rsidR="00916F30" w:rsidRDefault="00916F30" w:rsidP="00916F30">
            <w:pPr>
              <w:autoSpaceDE w:val="0"/>
              <w:autoSpaceDN w:val="0"/>
              <w:adjustRightInd w:val="0"/>
              <w:ind w:right="142"/>
              <w:jc w:val="both"/>
              <w:rPr>
                <w:rFonts w:ascii="Tunga" w:hAnsi="Tunga" w:cs="Tunga"/>
                <w:b/>
                <w:sz w:val="22"/>
                <w:szCs w:val="22"/>
                <w:lang w:val="en-US" w:eastAsia="en-GB"/>
              </w:rPr>
            </w:pPr>
          </w:p>
          <w:p w:rsidR="00916F30" w:rsidRDefault="00916F30" w:rsidP="00916F30">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Nothing to report</w:t>
            </w:r>
          </w:p>
          <w:p w:rsidR="00916F30" w:rsidRDefault="00916F30" w:rsidP="00916F30">
            <w:pPr>
              <w:autoSpaceDE w:val="0"/>
              <w:autoSpaceDN w:val="0"/>
              <w:adjustRightInd w:val="0"/>
              <w:ind w:right="142"/>
              <w:jc w:val="both"/>
              <w:rPr>
                <w:rFonts w:ascii="Tunga" w:hAnsi="Tunga" w:cs="Tunga"/>
                <w:sz w:val="22"/>
                <w:szCs w:val="22"/>
                <w:lang w:val="en-US" w:eastAsia="en-GB"/>
              </w:rPr>
            </w:pPr>
          </w:p>
          <w:p w:rsidR="0030135D" w:rsidRPr="00916F30" w:rsidRDefault="0030135D" w:rsidP="00916F30">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916F30" w:rsidP="00916F30">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Risk assessments/COSHH/GMO assessments</w:t>
            </w:r>
          </w:p>
          <w:p w:rsidR="00916F30" w:rsidRDefault="00916F30" w:rsidP="00916F30">
            <w:pPr>
              <w:autoSpaceDE w:val="0"/>
              <w:autoSpaceDN w:val="0"/>
              <w:adjustRightInd w:val="0"/>
              <w:ind w:right="142"/>
              <w:jc w:val="both"/>
              <w:rPr>
                <w:rFonts w:ascii="Tunga" w:hAnsi="Tunga" w:cs="Tunga"/>
                <w:b/>
                <w:sz w:val="22"/>
                <w:szCs w:val="22"/>
                <w:lang w:val="en-US" w:eastAsia="en-GB"/>
              </w:rPr>
            </w:pPr>
          </w:p>
          <w:p w:rsidR="00C3142B" w:rsidRDefault="00916F30" w:rsidP="00916F30">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lastRenderedPageBreak/>
              <w:t xml:space="preserve">Three </w:t>
            </w:r>
            <w:r w:rsidR="00C3142B">
              <w:rPr>
                <w:rFonts w:ascii="Tunga" w:hAnsi="Tunga" w:cs="Tunga"/>
                <w:sz w:val="22"/>
                <w:szCs w:val="22"/>
                <w:lang w:val="en-US" w:eastAsia="en-GB"/>
              </w:rPr>
              <w:t xml:space="preserve">GMO </w:t>
            </w:r>
            <w:r>
              <w:rPr>
                <w:rFonts w:ascii="Tunga" w:hAnsi="Tunga" w:cs="Tunga"/>
                <w:sz w:val="22"/>
                <w:szCs w:val="22"/>
                <w:lang w:val="en-US" w:eastAsia="en-GB"/>
              </w:rPr>
              <w:t xml:space="preserve">assessments were sent around.  The circulation of the assessments was thought to not be very </w:t>
            </w:r>
            <w:r w:rsidR="00C3142B">
              <w:rPr>
                <w:rFonts w:ascii="Tunga" w:hAnsi="Tunga" w:cs="Tunga"/>
                <w:sz w:val="22"/>
                <w:szCs w:val="22"/>
                <w:lang w:val="en-US" w:eastAsia="en-GB"/>
              </w:rPr>
              <w:t>efficient</w:t>
            </w:r>
            <w:r>
              <w:rPr>
                <w:rFonts w:ascii="Tunga" w:hAnsi="Tunga" w:cs="Tunga"/>
                <w:sz w:val="22"/>
                <w:szCs w:val="22"/>
                <w:lang w:val="en-US" w:eastAsia="en-GB"/>
              </w:rPr>
              <w:t xml:space="preserve">.  </w:t>
            </w:r>
            <w:r w:rsidR="003C045E">
              <w:rPr>
                <w:rFonts w:ascii="Tunga" w:hAnsi="Tunga" w:cs="Tunga"/>
                <w:sz w:val="22"/>
                <w:szCs w:val="22"/>
                <w:lang w:val="en-US" w:eastAsia="en-GB"/>
              </w:rPr>
              <w:t xml:space="preserve">B Sutherland previously mentioned and </w:t>
            </w:r>
            <w:r>
              <w:rPr>
                <w:rFonts w:ascii="Tunga" w:hAnsi="Tunga" w:cs="Tunga"/>
                <w:sz w:val="22"/>
                <w:szCs w:val="22"/>
                <w:lang w:val="en-US" w:eastAsia="en-GB"/>
              </w:rPr>
              <w:t>Andrew suggested that they should be sent around electronically</w:t>
            </w:r>
            <w:r w:rsidR="00C3142B">
              <w:rPr>
                <w:rFonts w:ascii="Tunga" w:hAnsi="Tunga" w:cs="Tunga"/>
                <w:sz w:val="22"/>
                <w:szCs w:val="22"/>
                <w:lang w:val="en-US" w:eastAsia="en-GB"/>
              </w:rPr>
              <w:t xml:space="preserve"> and asks for an electronic reply by a set deadline.  </w:t>
            </w:r>
          </w:p>
          <w:p w:rsidR="0030135D" w:rsidRPr="00916F30" w:rsidRDefault="0030135D" w:rsidP="00916F30">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lastRenderedPageBreak/>
              <w:t>Laboratory Safety</w:t>
            </w:r>
          </w:p>
          <w:p w:rsidR="00C3142B" w:rsidRDefault="00C3142B" w:rsidP="00C3142B">
            <w:pPr>
              <w:autoSpaceDE w:val="0"/>
              <w:autoSpaceDN w:val="0"/>
              <w:adjustRightInd w:val="0"/>
              <w:ind w:right="142"/>
              <w:jc w:val="both"/>
              <w:rPr>
                <w:rFonts w:ascii="Tunga" w:hAnsi="Tunga" w:cs="Tunga"/>
                <w:b/>
                <w:sz w:val="22"/>
                <w:szCs w:val="22"/>
                <w:lang w:val="en-US" w:eastAsia="en-GB"/>
              </w:rPr>
            </w:pPr>
          </w:p>
          <w:p w:rsidR="00C3142B" w:rsidRDefault="00C3142B"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The </w:t>
            </w:r>
            <w:r w:rsidR="003C045E">
              <w:rPr>
                <w:rFonts w:ascii="Tunga" w:hAnsi="Tunga" w:cs="Tunga"/>
                <w:sz w:val="22"/>
                <w:szCs w:val="22"/>
                <w:lang w:val="en-US" w:eastAsia="en-GB"/>
              </w:rPr>
              <w:t>Departmental</w:t>
            </w:r>
            <w:r>
              <w:rPr>
                <w:rFonts w:ascii="Tunga" w:hAnsi="Tunga" w:cs="Tunga"/>
                <w:sz w:val="22"/>
                <w:szCs w:val="22"/>
                <w:lang w:val="en-US" w:eastAsia="en-GB"/>
              </w:rPr>
              <w:t xml:space="preserve"> H&amp;S self-assurance toolkit was submitted at the start of October.  This will go to Brian in the H&amp;S office who will review and then give an assessment mark.</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C3142B" w:rsidRDefault="00C3142B"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PPE Non-compliance – Karen reported that if people are seen or reported to not be wearing appropriate PPE their team leader will be notified.  If they are seen a second time to not be complying then their access to the lab will be removed and a meeting will be held with their team leader.</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30135D" w:rsidRPr="00C3142B" w:rsidRDefault="0030135D" w:rsidP="00C3142B">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Fire Safety</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C3142B" w:rsidRDefault="00C3142B"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Robin told the Committee that there was nothing new to report.  Robin is still waiting for the assessment form the Trust.  </w:t>
            </w:r>
          </w:p>
          <w:p w:rsidR="00C3142B" w:rsidRDefault="00C3142B" w:rsidP="00C3142B">
            <w:pPr>
              <w:autoSpaceDE w:val="0"/>
              <w:autoSpaceDN w:val="0"/>
              <w:adjustRightInd w:val="0"/>
              <w:ind w:right="142"/>
              <w:jc w:val="both"/>
              <w:rPr>
                <w:rFonts w:ascii="Tunga" w:hAnsi="Tunga" w:cs="Tunga"/>
                <w:b/>
                <w:sz w:val="22"/>
                <w:szCs w:val="22"/>
                <w:lang w:val="en-US" w:eastAsia="en-GB"/>
              </w:rPr>
            </w:pPr>
          </w:p>
          <w:p w:rsidR="0030135D" w:rsidRPr="00C3142B" w:rsidRDefault="0030135D" w:rsidP="00C3142B">
            <w:pPr>
              <w:autoSpaceDE w:val="0"/>
              <w:autoSpaceDN w:val="0"/>
              <w:adjustRightInd w:val="0"/>
              <w:ind w:right="142"/>
              <w:jc w:val="both"/>
              <w:rPr>
                <w:rFonts w:ascii="Tunga" w:hAnsi="Tunga" w:cs="Tunga"/>
                <w:b/>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C3142B" w:rsidTr="0030135D">
        <w:tc>
          <w:tcPr>
            <w:tcW w:w="8472" w:type="dxa"/>
            <w:tcBorders>
              <w:right w:val="single" w:sz="4" w:space="0" w:color="auto"/>
            </w:tcBorders>
          </w:tcPr>
          <w:p w:rsidR="00C3142B"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Other</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C3142B" w:rsidRDefault="00C3142B"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Graham informed the Committee about an incident at the Old Road Campus where someone put dry ice into an enclosed freezer which was then opened the next day causing the person light headedness.  Graham suggested that a warning about dry ice not being stored in an enclosed freezer be added to any H&amp;S manual if it is not there already.</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30135D" w:rsidRDefault="003C045E"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Donald </w:t>
            </w:r>
            <w:r w:rsidR="00C3142B">
              <w:rPr>
                <w:rFonts w:ascii="Tunga" w:hAnsi="Tunga" w:cs="Tunga"/>
                <w:sz w:val="22"/>
                <w:szCs w:val="22"/>
                <w:lang w:val="en-US" w:eastAsia="en-GB"/>
              </w:rPr>
              <w:t>asked about the transfer of a freezer from L4 to the West Wing and whether there were any H&amp;S issues.  Karen said that she had used HRH to move a freezer before, they packed everything up inside for the move but there was no H&amp;S issues to worry about.  Robin mentioned the difficulty in accessing the maintenance lifts on L4 due to restricted access areas</w:t>
            </w:r>
            <w:r w:rsidR="0030135D">
              <w:rPr>
                <w:rFonts w:ascii="Tunga" w:hAnsi="Tunga" w:cs="Tunga"/>
                <w:sz w:val="22"/>
                <w:szCs w:val="22"/>
                <w:lang w:val="en-US" w:eastAsia="en-GB"/>
              </w:rPr>
              <w:t>.  Bio Chemistry will need to give access.</w:t>
            </w:r>
          </w:p>
          <w:p w:rsidR="0030135D" w:rsidRPr="00C3142B" w:rsidRDefault="0030135D" w:rsidP="00C3142B">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C3142B" w:rsidRPr="00F90C7E" w:rsidRDefault="00C3142B" w:rsidP="009677F9">
            <w:pPr>
              <w:autoSpaceDE w:val="0"/>
              <w:autoSpaceDN w:val="0"/>
              <w:adjustRightInd w:val="0"/>
              <w:ind w:right="142"/>
              <w:jc w:val="both"/>
              <w:rPr>
                <w:rFonts w:ascii="Tunga" w:hAnsi="Tunga" w:cs="Tunga"/>
                <w:b/>
                <w:sz w:val="22"/>
                <w:szCs w:val="22"/>
                <w:lang w:val="en-US" w:eastAsia="en-GB"/>
              </w:rPr>
            </w:pPr>
          </w:p>
        </w:tc>
      </w:tr>
      <w:tr w:rsidR="0030135D" w:rsidTr="0030135D">
        <w:tc>
          <w:tcPr>
            <w:tcW w:w="9997" w:type="dxa"/>
            <w:gridSpan w:val="2"/>
          </w:tcPr>
          <w:p w:rsidR="0030135D" w:rsidRDefault="0030135D"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30135D" w:rsidRDefault="0030135D" w:rsidP="0030135D">
            <w:pPr>
              <w:numPr>
                <w:ilvl w:val="0"/>
                <w:numId w:val="3"/>
              </w:numPr>
              <w:tabs>
                <w:tab w:val="left" w:pos="426"/>
                <w:tab w:val="left" w:pos="851"/>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7"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30135D" w:rsidRDefault="0030135D"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30135D" w:rsidRPr="00F90C7E" w:rsidRDefault="0030135D" w:rsidP="009677F9">
            <w:pPr>
              <w:autoSpaceDE w:val="0"/>
              <w:autoSpaceDN w:val="0"/>
              <w:adjustRightInd w:val="0"/>
              <w:ind w:right="142"/>
              <w:jc w:val="both"/>
              <w:rPr>
                <w:rFonts w:ascii="Tunga" w:hAnsi="Tunga" w:cs="Tunga"/>
                <w:b/>
                <w:sz w:val="22"/>
                <w:szCs w:val="22"/>
                <w:lang w:val="en-US" w:eastAsia="en-GB"/>
              </w:rPr>
            </w:pPr>
          </w:p>
        </w:tc>
      </w:tr>
      <w:tr w:rsidR="0030135D" w:rsidTr="0030135D">
        <w:tc>
          <w:tcPr>
            <w:tcW w:w="9997" w:type="dxa"/>
            <w:gridSpan w:val="2"/>
          </w:tcPr>
          <w:p w:rsidR="0030135D" w:rsidRPr="0030135D" w:rsidRDefault="0030135D" w:rsidP="0030135D">
            <w:pPr>
              <w:pStyle w:val="ListParagraph"/>
              <w:numPr>
                <w:ilvl w:val="0"/>
                <w:numId w:val="5"/>
              </w:numPr>
              <w:autoSpaceDE w:val="0"/>
              <w:autoSpaceDN w:val="0"/>
              <w:adjustRightInd w:val="0"/>
              <w:ind w:left="851" w:right="142" w:hanging="709"/>
              <w:jc w:val="both"/>
              <w:rPr>
                <w:rFonts w:ascii="Tunga" w:hAnsi="Tunga" w:cs="Tunga"/>
                <w:b/>
                <w:sz w:val="22"/>
                <w:szCs w:val="22"/>
                <w:lang w:val="en-US" w:eastAsia="en-GB"/>
              </w:rPr>
            </w:pPr>
            <w:r w:rsidRPr="0030135D">
              <w:rPr>
                <w:rFonts w:ascii="Tunga" w:hAnsi="Tunga" w:cs="Tunga"/>
                <w:b/>
                <w:sz w:val="22"/>
                <w:szCs w:val="22"/>
                <w:lang w:val="en-US" w:eastAsia="en-GB"/>
              </w:rPr>
              <w:t>Date of next meeting:</w:t>
            </w:r>
            <w:r w:rsidRPr="0030135D">
              <w:rPr>
                <w:rFonts w:ascii="Tunga" w:hAnsi="Tunga" w:cs="Tunga"/>
                <w:sz w:val="22"/>
                <w:szCs w:val="22"/>
                <w:lang w:val="en-US" w:eastAsia="en-GB"/>
              </w:rPr>
              <w:t xml:space="preserve"> Tuesday 29</w:t>
            </w:r>
            <w:r w:rsidRPr="0030135D">
              <w:rPr>
                <w:rFonts w:ascii="Tunga" w:hAnsi="Tunga" w:cs="Tunga"/>
                <w:sz w:val="22"/>
                <w:szCs w:val="22"/>
                <w:vertAlign w:val="superscript"/>
                <w:lang w:val="en-US" w:eastAsia="en-GB"/>
              </w:rPr>
              <w:t>th</w:t>
            </w:r>
            <w:r w:rsidRPr="0030135D">
              <w:rPr>
                <w:rFonts w:ascii="Tunga" w:hAnsi="Tunga" w:cs="Tunga"/>
                <w:sz w:val="22"/>
                <w:szCs w:val="22"/>
                <w:lang w:val="en-US" w:eastAsia="en-GB"/>
              </w:rPr>
              <w:t xml:space="preserve"> January, 11am (Room 7502, L7)</w:t>
            </w:r>
          </w:p>
        </w:tc>
      </w:tr>
    </w:tbl>
    <w:p w:rsidR="009677F9" w:rsidRDefault="009677F9" w:rsidP="009677F9">
      <w:pPr>
        <w:tabs>
          <w:tab w:val="left" w:pos="2047"/>
        </w:tabs>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ab/>
      </w:r>
    </w:p>
    <w:p w:rsidR="009677F9" w:rsidRDefault="009677F9"/>
    <w:sectPr w:rsidR="009677F9" w:rsidSect="009677F9">
      <w:pgSz w:w="11906" w:h="16838"/>
      <w:pgMar w:top="1440"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9.75pt;height:852.7pt" o:bullet="t">
        <v:imagedata r:id="rId1" o:title="MP900430970[1]"/>
      </v:shape>
    </w:pict>
  </w:numPicBullet>
  <w:numPicBullet w:numPicBulletId="1">
    <w:pict>
      <v:shape id="_x0000_i1027" type="#_x0000_t75" style="width:468pt;height:478.6pt" o:bullet="t">
        <v:imagedata r:id="rId2" o:title="MP900438989[1]"/>
      </v:shape>
    </w:pict>
  </w:numPicBullet>
  <w:numPicBullet w:numPicBulletId="2">
    <w:pict>
      <v:shape id="_x0000_i1028" type="#_x0000_t75" style="width:2in;height:2in" o:bullet="t">
        <v:imagedata r:id="rId3" o:title="MC900436293[1]"/>
      </v:shape>
    </w:pict>
  </w:numPicBullet>
  <w:abstractNum w:abstractNumId="0">
    <w:nsid w:val="2E843D22"/>
    <w:multiLevelType w:val="hybridMultilevel"/>
    <w:tmpl w:val="496ACC5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B460C09"/>
    <w:multiLevelType w:val="hybridMultilevel"/>
    <w:tmpl w:val="2C8074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2F13644"/>
    <w:multiLevelType w:val="hybridMultilevel"/>
    <w:tmpl w:val="41F4A600"/>
    <w:lvl w:ilvl="0" w:tplc="B900E842">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4D4762"/>
    <w:multiLevelType w:val="hybridMultilevel"/>
    <w:tmpl w:val="2BDA9AAE"/>
    <w:lvl w:ilvl="0" w:tplc="8E62A680">
      <w:start w:val="1"/>
      <w:numFmt w:val="bullet"/>
      <w:lvlText w:val=""/>
      <w:lvlPicBulletId w:val="2"/>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9F64D5"/>
    <w:multiLevelType w:val="hybridMultilevel"/>
    <w:tmpl w:val="32B6CAC2"/>
    <w:lvl w:ilvl="0" w:tplc="2E9C99E2">
      <w:start w:val="1"/>
      <w:numFmt w:val="bullet"/>
      <w:lvlText w:val=""/>
      <w:lvlPicBulletId w:val="1"/>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BC38DE"/>
    <w:multiLevelType w:val="hybridMultilevel"/>
    <w:tmpl w:val="2D5099EA"/>
    <w:lvl w:ilvl="0" w:tplc="2E9C99E2">
      <w:start w:val="1"/>
      <w:numFmt w:val="bullet"/>
      <w:lvlText w:val=""/>
      <w:lvlPicBulletId w:val="1"/>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stylePaneFormatFilter w:val="3F01"/>
  <w:defaultTabStop w:val="720"/>
  <w:characterSpacingControl w:val="doNotCompress"/>
  <w:compat/>
  <w:rsids>
    <w:rsidRoot w:val="009677F9"/>
    <w:rsid w:val="000A66BA"/>
    <w:rsid w:val="001B744D"/>
    <w:rsid w:val="0024045D"/>
    <w:rsid w:val="0030135D"/>
    <w:rsid w:val="003C045E"/>
    <w:rsid w:val="005258D6"/>
    <w:rsid w:val="00916F30"/>
    <w:rsid w:val="009677F9"/>
    <w:rsid w:val="00C3142B"/>
    <w:rsid w:val="00DE61E6"/>
    <w:rsid w:val="00EA2872"/>
    <w:rsid w:val="00F149CA"/>
    <w:rsid w:val="00F90C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F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77F9"/>
    <w:pPr>
      <w:ind w:left="720"/>
      <w:contextualSpacing/>
    </w:pPr>
  </w:style>
  <w:style w:type="character" w:styleId="Hyperlink">
    <w:name w:val="Hyperlink"/>
    <w:basedOn w:val="DefaultParagraphFont"/>
    <w:rsid w:val="0030135D"/>
    <w:rPr>
      <w:color w:val="3333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F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77F9"/>
    <w:pPr>
      <w:ind w:left="720"/>
      <w:contextualSpacing/>
    </w:pPr>
  </w:style>
  <w:style w:type="character" w:styleId="Hyperlink">
    <w:name w:val="Hyperlink"/>
    <w:basedOn w:val="DefaultParagraphFont"/>
    <w:rsid w:val="0030135D"/>
    <w:rPr>
      <w:color w:val="3333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pmedndm.ox.ac.uk/lab-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smorrish</dc:creator>
  <cp:keywords/>
  <dc:description/>
  <cp:lastModifiedBy>Karen Clifford</cp:lastModifiedBy>
  <cp:revision>4</cp:revision>
  <dcterms:created xsi:type="dcterms:W3CDTF">2012-10-24T13:15:00Z</dcterms:created>
  <dcterms:modified xsi:type="dcterms:W3CDTF">2012-10-24T13:18:00Z</dcterms:modified>
</cp:coreProperties>
</file>